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10" w:rsidRDefault="00930F10" w:rsidP="00930F10">
      <w:pPr>
        <w:tabs>
          <w:tab w:val="left" w:pos="1800"/>
        </w:tabs>
        <w:spacing w:line="400" w:lineRule="exact"/>
        <w:rPr>
          <w:rFonts w:eastAsia="方正楷体简体"/>
          <w:b/>
          <w:spacing w:val="10"/>
          <w:sz w:val="28"/>
          <w:szCs w:val="28"/>
        </w:rPr>
      </w:pPr>
      <w:r>
        <w:rPr>
          <w:rFonts w:eastAsia="方正楷体简体" w:hint="eastAsia"/>
          <w:b/>
          <w:spacing w:val="10"/>
          <w:sz w:val="28"/>
          <w:szCs w:val="28"/>
        </w:rPr>
        <w:t>市九届人大一次</w:t>
      </w:r>
    </w:p>
    <w:p w:rsidR="00930F10" w:rsidRDefault="00930F10" w:rsidP="00930F10">
      <w:pPr>
        <w:widowControl/>
        <w:shd w:val="clear" w:color="auto" w:fill="FFFFFF" w:themeFill="background1"/>
        <w:spacing w:line="400" w:lineRule="exact"/>
        <w:jc w:val="left"/>
        <w:rPr>
          <w:rFonts w:eastAsia="方正楷体简体"/>
          <w:b/>
          <w:spacing w:val="10"/>
          <w:sz w:val="28"/>
          <w:szCs w:val="28"/>
        </w:rPr>
      </w:pPr>
      <w:r>
        <w:rPr>
          <w:rFonts w:eastAsia="方正楷体简体" w:hint="eastAsia"/>
          <w:b/>
          <w:spacing w:val="10"/>
          <w:sz w:val="28"/>
          <w:szCs w:val="28"/>
        </w:rPr>
        <w:t>会议文件（十）</w:t>
      </w:r>
    </w:p>
    <w:p w:rsidR="00930F10" w:rsidRDefault="00930F10" w:rsidP="00930F10">
      <w:pPr>
        <w:pStyle w:val="2"/>
        <w:ind w:left="600" w:firstLine="600"/>
      </w:pPr>
    </w:p>
    <w:p w:rsidR="00930F10" w:rsidRDefault="00930F10" w:rsidP="00930F10">
      <w:pPr>
        <w:widowControl/>
        <w:shd w:val="clear" w:color="auto" w:fill="FFFFFF" w:themeFill="background1"/>
        <w:spacing w:line="560" w:lineRule="exact"/>
        <w:jc w:val="center"/>
        <w:rPr>
          <w:rFonts w:ascii="Times New Roman" w:eastAsia="方正小标宋简体" w:hAnsi="Times New Roman"/>
          <w:color w:val="000000" w:themeColor="text1"/>
          <w:sz w:val="44"/>
          <w:szCs w:val="44"/>
        </w:rPr>
      </w:pPr>
      <w:r>
        <w:rPr>
          <w:rFonts w:ascii="方正小标宋_GBK" w:eastAsia="方正小标宋_GBK" w:hAnsi="方正小标宋_GBK" w:cs="方正小标宋_GBK" w:hint="eastAsia"/>
          <w:spacing w:val="6"/>
          <w:sz w:val="44"/>
          <w:szCs w:val="44"/>
        </w:rPr>
        <w:t>霍林郭勒市人民检察院工作报告</w:t>
      </w:r>
    </w:p>
    <w:p w:rsidR="00930F10" w:rsidRDefault="00930F10" w:rsidP="00930F10">
      <w:pPr>
        <w:pStyle w:val="00121"/>
        <w:shd w:val="clear" w:color="auto" w:fill="FFFFFF" w:themeFill="background1"/>
        <w:spacing w:before="0" w:line="560" w:lineRule="exact"/>
        <w:rPr>
          <w:rFonts w:ascii="Times New Roman" w:hAnsi="Times New Roman"/>
          <w:color w:val="000000" w:themeColor="text1"/>
        </w:rPr>
      </w:pPr>
    </w:p>
    <w:p w:rsidR="00930F10" w:rsidRDefault="00930F10" w:rsidP="00930F10">
      <w:pPr>
        <w:spacing w:line="56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2022年1月8日在霍林郭勒市第九届人民代表大会</w:t>
      </w:r>
    </w:p>
    <w:p w:rsidR="00930F10" w:rsidRDefault="00930F10" w:rsidP="00930F10">
      <w:pPr>
        <w:spacing w:line="560" w:lineRule="exact"/>
        <w:jc w:val="center"/>
        <w:rPr>
          <w:rFonts w:ascii="楷体_GB2312" w:eastAsia="楷体_GB2312" w:hAnsi="楷体_GB2312" w:cs="楷体_GB2312"/>
          <w:b/>
          <w:color w:val="000000"/>
          <w:sz w:val="32"/>
          <w:szCs w:val="32"/>
        </w:rPr>
      </w:pPr>
      <w:r>
        <w:rPr>
          <w:rFonts w:ascii="楷体_GB2312" w:eastAsia="楷体_GB2312" w:hAnsi="楷体_GB2312" w:cs="楷体_GB2312" w:hint="eastAsia"/>
          <w:b/>
          <w:bCs/>
          <w:sz w:val="32"/>
          <w:szCs w:val="32"/>
        </w:rPr>
        <w:t>第二次会议</w:t>
      </w:r>
      <w:r>
        <w:rPr>
          <w:rFonts w:ascii="楷体_GB2312" w:eastAsia="楷体_GB2312" w:hAnsi="楷体_GB2312" w:cs="楷体_GB2312" w:hint="eastAsia"/>
          <w:b/>
          <w:color w:val="000000"/>
          <w:sz w:val="32"/>
          <w:szCs w:val="32"/>
        </w:rPr>
        <w:t>全体会议上</w:t>
      </w:r>
    </w:p>
    <w:p w:rsidR="00930F10" w:rsidRDefault="00930F10" w:rsidP="00930F10">
      <w:pPr>
        <w:spacing w:line="560" w:lineRule="exact"/>
        <w:jc w:val="center"/>
        <w:rPr>
          <w:rFonts w:ascii="楷体_GB2312" w:eastAsia="楷体_GB2312" w:hAnsi="楷体_GB2312" w:cs="楷体_GB2312"/>
          <w:b/>
          <w:bCs/>
          <w:sz w:val="32"/>
          <w:szCs w:val="32"/>
        </w:rPr>
      </w:pPr>
    </w:p>
    <w:p w:rsidR="00930F10" w:rsidRDefault="00930F10" w:rsidP="00930F10">
      <w:pPr>
        <w:shd w:val="clear" w:color="auto" w:fill="FFFFFF" w:themeFill="background1"/>
        <w:spacing w:line="560" w:lineRule="exact"/>
        <w:jc w:val="center"/>
        <w:rPr>
          <w:rFonts w:ascii="Times New Roman" w:eastAsia="楷体_GB2312" w:hAnsi="Times New Roman"/>
          <w:bCs/>
          <w:color w:val="000000" w:themeColor="text1"/>
          <w:sz w:val="32"/>
          <w:szCs w:val="32"/>
        </w:rPr>
      </w:pPr>
      <w:r>
        <w:rPr>
          <w:rFonts w:ascii="楷体_GB2312" w:eastAsia="楷体_GB2312" w:hAnsi="楷体_GB2312" w:cs="楷体_GB2312" w:hint="eastAsia"/>
          <w:b/>
          <w:color w:val="000000"/>
          <w:sz w:val="32"/>
          <w:szCs w:val="32"/>
        </w:rPr>
        <w:t>霍林郭勒市人民检察院检察长 申彦民</w:t>
      </w:r>
    </w:p>
    <w:p w:rsidR="00930F10" w:rsidRDefault="00930F10" w:rsidP="00930F10">
      <w:pPr>
        <w:pStyle w:val="p15"/>
        <w:widowControl w:val="0"/>
        <w:shd w:val="clear" w:color="auto" w:fill="FFFFFF" w:themeFill="background1"/>
        <w:spacing w:line="560" w:lineRule="exact"/>
        <w:ind w:firstLineChars="200" w:firstLine="640"/>
        <w:jc w:val="center"/>
        <w:rPr>
          <w:rFonts w:ascii="Times New Roman" w:hAnsi="Times New Roman"/>
          <w:color w:val="000000" w:themeColor="text1"/>
          <w:szCs w:val="32"/>
        </w:rPr>
      </w:pPr>
    </w:p>
    <w:p w:rsidR="00930F10" w:rsidRDefault="00930F10" w:rsidP="00930F10">
      <w:pPr>
        <w:shd w:val="clear" w:color="auto" w:fill="FFFFFF" w:themeFill="background1"/>
        <w:spacing w:line="560" w:lineRule="exact"/>
        <w:rPr>
          <w:rFonts w:ascii="Times New Roman" w:eastAsia="仿宋_GB2312" w:hAnsi="Times New Roman"/>
          <w:color w:val="000000" w:themeColor="text1"/>
          <w:sz w:val="32"/>
        </w:rPr>
      </w:pPr>
      <w:r>
        <w:rPr>
          <w:rFonts w:ascii="Times New Roman" w:eastAsia="仿宋_GB2312" w:hAnsi="Times New Roman"/>
          <w:color w:val="000000" w:themeColor="text1"/>
          <w:sz w:val="32"/>
        </w:rPr>
        <w:t>各位代表</w:t>
      </w:r>
      <w:r>
        <w:rPr>
          <w:rFonts w:ascii="Times New Roman" w:eastAsia="仿宋_GB2312" w:hAnsi="Times New Roman"/>
          <w:color w:val="000000" w:themeColor="text1"/>
          <w:sz w:val="32"/>
        </w:rPr>
        <w:t>:</w:t>
      </w:r>
    </w:p>
    <w:p w:rsidR="00930F10" w:rsidRDefault="00930F10" w:rsidP="00930F10">
      <w:pPr>
        <w:shd w:val="clear" w:color="auto" w:fill="FFFFFF" w:themeFill="background1"/>
        <w:spacing w:line="560" w:lineRule="exact"/>
        <w:ind w:firstLine="640"/>
        <w:rPr>
          <w:rFonts w:ascii="Times New Roman" w:eastAsia="仿宋_GB2312" w:hAnsi="Times New Roman"/>
          <w:color w:val="000000" w:themeColor="text1"/>
          <w:sz w:val="32"/>
        </w:rPr>
      </w:pPr>
      <w:r>
        <w:rPr>
          <w:rFonts w:ascii="Times New Roman" w:eastAsia="仿宋_GB2312" w:hAnsi="Times New Roman"/>
          <w:color w:val="000000" w:themeColor="text1"/>
          <w:sz w:val="32"/>
        </w:rPr>
        <w:t>现在，我代表霍林郭勒市人民检察院向大会报告工作，请予审议，并请各位政协委员和列席会议的同志提出意见。</w:t>
      </w:r>
    </w:p>
    <w:p w:rsidR="00930F10" w:rsidRDefault="00930F10" w:rsidP="00930F10">
      <w:pPr>
        <w:pStyle w:val="p15"/>
        <w:widowControl w:val="0"/>
        <w:shd w:val="clear" w:color="auto" w:fill="FFFFFF" w:themeFill="background1"/>
        <w:spacing w:line="560" w:lineRule="exact"/>
        <w:jc w:val="center"/>
        <w:rPr>
          <w:rFonts w:ascii="Times New Roman" w:eastAsia="黑体" w:hAnsi="Times New Roman"/>
          <w:b/>
          <w:color w:val="000000" w:themeColor="text1"/>
          <w:szCs w:val="32"/>
        </w:rPr>
      </w:pPr>
      <w:r>
        <w:rPr>
          <w:rFonts w:ascii="Times New Roman" w:eastAsia="黑体" w:hAnsi="黑体"/>
          <w:b/>
          <w:color w:val="000000" w:themeColor="text1"/>
          <w:szCs w:val="32"/>
        </w:rPr>
        <w:t>过去四年工作回顾</w:t>
      </w:r>
    </w:p>
    <w:p w:rsidR="00930F10" w:rsidRDefault="00930F10" w:rsidP="00930F10">
      <w:pPr>
        <w:pStyle w:val="p15"/>
        <w:widowControl w:val="0"/>
        <w:shd w:val="clear" w:color="auto" w:fill="FFFFFF" w:themeFill="background1"/>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四年来，我院在市委和上级检察机关的正确领导下，在市人大及其常委会的有力监督和市人民政府、政协以及社会各界的大力支持下，坚持以习近平新时代中国特色社会主义思想为指导，深入贯彻落实</w:t>
      </w:r>
      <w:r>
        <w:rPr>
          <w:rFonts w:hAnsi="仿宋_GB2312" w:cs="仿宋_GB2312" w:hint="eastAsia"/>
          <w:szCs w:val="32"/>
        </w:rPr>
        <w:t>党</w:t>
      </w:r>
      <w:r>
        <w:rPr>
          <w:rFonts w:hAnsi="仿宋_GB2312" w:cs="仿宋_GB2312" w:hint="eastAsia"/>
          <w:color w:val="000000" w:themeColor="text1"/>
          <w:szCs w:val="32"/>
        </w:rPr>
        <w:t>的十九大和十九</w:t>
      </w:r>
      <w:r>
        <w:rPr>
          <w:rFonts w:hAnsi="仿宋_GB2312" w:cs="仿宋_GB2312" w:hint="eastAsia"/>
          <w:szCs w:val="32"/>
        </w:rPr>
        <w:t>届</w:t>
      </w:r>
      <w:r>
        <w:rPr>
          <w:rFonts w:hAnsi="仿宋_GB2312" w:cs="仿宋_GB2312" w:hint="eastAsia"/>
          <w:color w:val="000000" w:themeColor="text1"/>
          <w:szCs w:val="32"/>
        </w:rPr>
        <w:t>二中、三中、四中、五中、六中全会精神，以习近平法治思想为引领,把增强“四个意识”、坚定“四个自信”、做到“两个维护”融入检察履职，积极落实市委和上级院决策部署，紧扣决战脱贫攻坚、平安霍林郭勒建设等工作目标，为霍林郭勒市经济社会发展贡献检察力量。四年来，共办理各类案件</w:t>
      </w:r>
      <w:r>
        <w:rPr>
          <w:rFonts w:ascii="Times New Roman" w:hAnsi="Times New Roman"/>
          <w:color w:val="000000" w:themeColor="text1"/>
          <w:szCs w:val="32"/>
        </w:rPr>
        <w:t>2169</w:t>
      </w:r>
      <w:r>
        <w:rPr>
          <w:rFonts w:hAnsi="仿宋_GB2312" w:cs="仿宋_GB2312" w:hint="eastAsia"/>
          <w:color w:val="000000" w:themeColor="text1"/>
          <w:szCs w:val="32"/>
        </w:rPr>
        <w:t>件。先后获得全国检察宣传先进单位、自治区文明单位、自治区维护妇女儿童权益先进单位等称号，累计</w:t>
      </w:r>
      <w:r>
        <w:rPr>
          <w:rFonts w:ascii="Times New Roman" w:hAnsi="Times New Roman"/>
          <w:color w:val="000000" w:themeColor="text1"/>
          <w:szCs w:val="32"/>
        </w:rPr>
        <w:t>24</w:t>
      </w:r>
      <w:r>
        <w:rPr>
          <w:rFonts w:hAnsi="仿宋_GB2312" w:cs="仿宋_GB2312" w:hint="eastAsia"/>
          <w:color w:val="000000" w:themeColor="text1"/>
          <w:szCs w:val="32"/>
        </w:rPr>
        <w:t>个集体、</w:t>
      </w:r>
      <w:r>
        <w:rPr>
          <w:rFonts w:ascii="Times New Roman" w:hAnsi="Times New Roman"/>
          <w:color w:val="000000" w:themeColor="text1"/>
          <w:szCs w:val="32"/>
        </w:rPr>
        <w:t>63</w:t>
      </w:r>
      <w:r>
        <w:rPr>
          <w:rFonts w:hAnsi="仿宋_GB2312" w:cs="仿宋_GB2312" w:hint="eastAsia"/>
          <w:color w:val="000000" w:themeColor="text1"/>
          <w:szCs w:val="32"/>
        </w:rPr>
        <w:t>名干警获通辽市级以上表彰奖励。</w:t>
      </w:r>
    </w:p>
    <w:p w:rsidR="00930F10" w:rsidRDefault="00930F10" w:rsidP="00930F10">
      <w:pPr>
        <w:spacing w:line="560" w:lineRule="exact"/>
        <w:ind w:firstLineChars="200" w:firstLine="640"/>
        <w:rPr>
          <w:rFonts w:ascii="Times New Roman" w:eastAsia="黑体" w:hAnsi="Times New Roman"/>
          <w:bCs/>
          <w:color w:val="000000" w:themeColor="text1"/>
          <w:sz w:val="32"/>
          <w:szCs w:val="32"/>
        </w:rPr>
        <w:sectPr w:rsidR="00930F10">
          <w:pgSz w:w="11905" w:h="16838" w:orient="landscape"/>
          <w:pgMar w:top="1474" w:right="1440" w:bottom="1474" w:left="1440" w:header="851" w:footer="992" w:gutter="0"/>
          <w:pgNumType w:start="1"/>
          <w:cols w:space="0"/>
          <w:docGrid w:type="lines" w:linePitch="421"/>
        </w:sectPr>
      </w:pPr>
    </w:p>
    <w:p w:rsidR="00930F10" w:rsidRDefault="00930F10" w:rsidP="00930F10">
      <w:pPr>
        <w:spacing w:line="560" w:lineRule="exact"/>
        <w:ind w:firstLineChars="200" w:firstLine="643"/>
        <w:rPr>
          <w:rFonts w:ascii="Times New Roman" w:eastAsia="黑体" w:hAnsi="Times New Roman"/>
          <w:b/>
          <w:sz w:val="32"/>
          <w:szCs w:val="32"/>
        </w:rPr>
      </w:pPr>
      <w:r>
        <w:rPr>
          <w:rFonts w:ascii="Times New Roman" w:eastAsia="黑体" w:hAnsi="Times New Roman"/>
          <w:b/>
          <w:color w:val="000000" w:themeColor="text1"/>
          <w:sz w:val="32"/>
          <w:szCs w:val="32"/>
        </w:rPr>
        <w:lastRenderedPageBreak/>
        <w:t>一、</w:t>
      </w:r>
      <w:r>
        <w:rPr>
          <w:rFonts w:ascii="Times New Roman" w:eastAsia="黑体" w:hAnsi="Times New Roman"/>
          <w:b/>
          <w:sz w:val="32"/>
          <w:szCs w:val="32"/>
        </w:rPr>
        <w:t>统筹</w:t>
      </w:r>
      <w:r>
        <w:rPr>
          <w:rFonts w:ascii="Times New Roman" w:eastAsia="黑体" w:hAnsi="Times New Roman" w:hint="eastAsia"/>
          <w:b/>
          <w:sz w:val="32"/>
          <w:szCs w:val="32"/>
        </w:rPr>
        <w:t>安全发展</w:t>
      </w:r>
      <w:r>
        <w:rPr>
          <w:rFonts w:ascii="Times New Roman" w:eastAsia="黑体" w:hAnsi="Times New Roman"/>
          <w:b/>
          <w:sz w:val="32"/>
          <w:szCs w:val="32"/>
        </w:rPr>
        <w:t>，强化使命担当</w:t>
      </w:r>
    </w:p>
    <w:p w:rsidR="00930F10" w:rsidRDefault="00930F10" w:rsidP="00930F10">
      <w:pPr>
        <w:spacing w:line="560" w:lineRule="exact"/>
        <w:ind w:firstLineChars="200" w:firstLine="640"/>
        <w:rPr>
          <w:rFonts w:ascii="Times New Roman" w:eastAsia="仿宋_GB2312" w:hAnsi="Times New Roman"/>
          <w:color w:val="000000" w:themeColor="text1"/>
          <w:sz w:val="32"/>
          <w:szCs w:val="32"/>
        </w:rPr>
      </w:pPr>
      <w:r>
        <w:rPr>
          <w:rFonts w:ascii="Times New Roman" w:eastAsia="楷体_GB2312" w:hAnsi="Times New Roman" w:hint="eastAsia"/>
          <w:b/>
          <w:color w:val="000000" w:themeColor="text1"/>
          <w:sz w:val="32"/>
          <w:szCs w:val="32"/>
        </w:rPr>
        <w:t>全力</w:t>
      </w:r>
      <w:r>
        <w:rPr>
          <w:rFonts w:ascii="Times New Roman" w:eastAsia="楷体_GB2312" w:hAnsi="Times New Roman"/>
          <w:b/>
          <w:color w:val="000000" w:themeColor="text1"/>
          <w:sz w:val="32"/>
          <w:szCs w:val="32"/>
        </w:rPr>
        <w:t>维护国家安全社会稳定。</w:t>
      </w:r>
      <w:r>
        <w:rPr>
          <w:rFonts w:ascii="Times New Roman" w:eastAsia="仿宋_GB2312" w:hAnsi="Times New Roman"/>
          <w:color w:val="000000" w:themeColor="text1"/>
          <w:sz w:val="32"/>
          <w:szCs w:val="32"/>
        </w:rPr>
        <w:t>贯彻总体国家安全观，坚决惩治</w:t>
      </w:r>
      <w:r>
        <w:rPr>
          <w:rFonts w:ascii="仿宋_GB2312" w:eastAsia="仿宋_GB2312" w:hAnsi="仿宋_GB2312" w:cs="仿宋_GB2312" w:hint="eastAsia"/>
          <w:color w:val="000000" w:themeColor="text1"/>
          <w:sz w:val="32"/>
          <w:szCs w:val="32"/>
        </w:rPr>
        <w:t>“</w:t>
      </w:r>
      <w:r>
        <w:rPr>
          <w:rFonts w:ascii="Times New Roman" w:eastAsia="仿宋_GB2312" w:hAnsi="Times New Roman"/>
          <w:color w:val="000000" w:themeColor="text1"/>
          <w:sz w:val="32"/>
          <w:szCs w:val="32"/>
        </w:rPr>
        <w:t>法轮功</w:t>
      </w:r>
      <w:r>
        <w:rPr>
          <w:rFonts w:ascii="仿宋_GB2312" w:eastAsia="仿宋_GB2312" w:hAnsi="仿宋_GB2312" w:cs="仿宋_GB2312" w:hint="eastAsia"/>
          <w:color w:val="000000" w:themeColor="text1"/>
          <w:sz w:val="32"/>
          <w:szCs w:val="32"/>
        </w:rPr>
        <w:t>”</w:t>
      </w:r>
      <w:r>
        <w:rPr>
          <w:rFonts w:ascii="Times New Roman" w:eastAsia="仿宋_GB2312" w:hAnsi="Times New Roman"/>
          <w:color w:val="000000" w:themeColor="text1"/>
          <w:sz w:val="32"/>
          <w:szCs w:val="32"/>
        </w:rPr>
        <w:t>邪教组织犯罪</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起诉</w:t>
      </w: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件</w:t>
      </w: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人。严惩严重暴力犯罪，起诉</w:t>
      </w:r>
      <w:r>
        <w:rPr>
          <w:rFonts w:ascii="Times New Roman" w:eastAsia="仿宋_GB2312" w:hAnsi="Times New Roman" w:hint="eastAsia"/>
          <w:color w:val="000000" w:themeColor="text1"/>
          <w:sz w:val="32"/>
          <w:szCs w:val="32"/>
        </w:rPr>
        <w:t>64</w:t>
      </w:r>
      <w:r>
        <w:rPr>
          <w:rFonts w:ascii="Times New Roman" w:eastAsia="仿宋_GB2312" w:hAnsi="Times New Roman"/>
          <w:color w:val="000000" w:themeColor="text1"/>
          <w:sz w:val="32"/>
          <w:szCs w:val="32"/>
        </w:rPr>
        <w:t>件</w:t>
      </w:r>
      <w:r>
        <w:rPr>
          <w:rFonts w:ascii="Times New Roman" w:eastAsia="仿宋_GB2312" w:hAnsi="Times New Roman" w:hint="eastAsia"/>
          <w:color w:val="000000" w:themeColor="text1"/>
          <w:sz w:val="32"/>
          <w:szCs w:val="32"/>
        </w:rPr>
        <w:t>80</w:t>
      </w:r>
      <w:r>
        <w:rPr>
          <w:rFonts w:ascii="Times New Roman" w:eastAsia="仿宋_GB2312" w:hAnsi="Times New Roman"/>
          <w:color w:val="000000" w:themeColor="text1"/>
          <w:sz w:val="32"/>
          <w:szCs w:val="32"/>
        </w:rPr>
        <w:t>人。依法惩治盗窃诈骗等多发性侵财犯罪，起诉</w:t>
      </w:r>
      <w:r>
        <w:rPr>
          <w:rFonts w:ascii="Times New Roman" w:eastAsia="仿宋_GB2312" w:hAnsi="Times New Roman" w:hint="eastAsia"/>
          <w:color w:val="000000" w:themeColor="text1"/>
          <w:sz w:val="32"/>
          <w:szCs w:val="32"/>
        </w:rPr>
        <w:t>184</w:t>
      </w:r>
      <w:r>
        <w:rPr>
          <w:rFonts w:ascii="Times New Roman" w:eastAsia="仿宋_GB2312" w:hAnsi="Times New Roman"/>
          <w:color w:val="000000" w:themeColor="text1"/>
          <w:sz w:val="32"/>
          <w:szCs w:val="32"/>
        </w:rPr>
        <w:t>件</w:t>
      </w:r>
      <w:r>
        <w:rPr>
          <w:rFonts w:ascii="Times New Roman" w:eastAsia="仿宋_GB2312" w:hAnsi="Times New Roman" w:hint="eastAsia"/>
          <w:color w:val="000000" w:themeColor="text1"/>
          <w:sz w:val="32"/>
          <w:szCs w:val="32"/>
        </w:rPr>
        <w:t>224</w:t>
      </w:r>
      <w:r>
        <w:rPr>
          <w:rFonts w:ascii="Times New Roman" w:eastAsia="仿宋_GB2312" w:hAnsi="Times New Roman"/>
          <w:color w:val="000000" w:themeColor="text1"/>
          <w:sz w:val="32"/>
          <w:szCs w:val="32"/>
        </w:rPr>
        <w:t>人。突出惩治重大责任事故等安全生产领域犯罪，起诉</w:t>
      </w:r>
      <w:r>
        <w:rPr>
          <w:rFonts w:ascii="Times New Roman" w:eastAsia="仿宋_GB2312" w:hAnsi="Times New Roman" w:hint="eastAsia"/>
          <w:color w:val="000000" w:themeColor="text1"/>
          <w:sz w:val="32"/>
          <w:szCs w:val="32"/>
        </w:rPr>
        <w:t>4</w:t>
      </w:r>
      <w:r>
        <w:rPr>
          <w:rFonts w:ascii="Times New Roman" w:eastAsia="仿宋_GB2312" w:hAnsi="Times New Roman"/>
          <w:color w:val="000000" w:themeColor="text1"/>
          <w:sz w:val="32"/>
          <w:szCs w:val="32"/>
        </w:rPr>
        <w:t>件</w:t>
      </w:r>
      <w:r>
        <w:rPr>
          <w:rFonts w:ascii="Times New Roman" w:eastAsia="仿宋_GB2312" w:hAnsi="Times New Roman" w:hint="eastAsia"/>
          <w:color w:val="000000" w:themeColor="text1"/>
          <w:sz w:val="32"/>
          <w:szCs w:val="32"/>
        </w:rPr>
        <w:t>9</w:t>
      </w:r>
      <w:r>
        <w:rPr>
          <w:rFonts w:ascii="Times New Roman" w:eastAsia="仿宋_GB2312" w:hAnsi="Times New Roman"/>
          <w:color w:val="000000" w:themeColor="text1"/>
          <w:sz w:val="32"/>
          <w:szCs w:val="32"/>
        </w:rPr>
        <w:t>人。加大惩治电信网络诈骗以及利用网络赌博、泄露个人信息等犯罪力度，起诉</w:t>
      </w:r>
      <w:r>
        <w:rPr>
          <w:rFonts w:ascii="Times New Roman" w:eastAsia="仿宋_GB2312" w:hAnsi="Times New Roman" w:hint="eastAsia"/>
          <w:color w:val="000000" w:themeColor="text1"/>
          <w:sz w:val="32"/>
          <w:szCs w:val="32"/>
        </w:rPr>
        <w:t>17</w:t>
      </w:r>
      <w:r>
        <w:rPr>
          <w:rFonts w:ascii="Times New Roman" w:eastAsia="仿宋_GB2312" w:hAnsi="Times New Roman"/>
          <w:color w:val="000000" w:themeColor="text1"/>
          <w:sz w:val="32"/>
          <w:szCs w:val="32"/>
        </w:rPr>
        <w:t>件</w:t>
      </w:r>
      <w:r>
        <w:rPr>
          <w:rFonts w:ascii="Times New Roman" w:eastAsia="仿宋_GB2312" w:hAnsi="Times New Roman" w:hint="eastAsia"/>
          <w:color w:val="000000" w:themeColor="text1"/>
          <w:sz w:val="32"/>
          <w:szCs w:val="32"/>
        </w:rPr>
        <w:t>27</w:t>
      </w:r>
      <w:r>
        <w:rPr>
          <w:rFonts w:ascii="Times New Roman" w:eastAsia="仿宋_GB2312" w:hAnsi="Times New Roman"/>
          <w:color w:val="000000" w:themeColor="text1"/>
          <w:sz w:val="32"/>
          <w:szCs w:val="32"/>
        </w:rPr>
        <w:t>人</w:t>
      </w:r>
      <w:r>
        <w:rPr>
          <w:rFonts w:ascii="Times New Roman" w:eastAsia="仿宋_GB2312" w:hAnsi="Times New Roman" w:hint="eastAsia"/>
          <w:color w:val="000000" w:themeColor="text1"/>
          <w:sz w:val="32"/>
          <w:szCs w:val="32"/>
        </w:rPr>
        <w:t>。疫情期间，快速办理妨害传染病防治案</w:t>
      </w:r>
      <w:r>
        <w:rPr>
          <w:rFonts w:ascii="Times New Roman" w:eastAsia="仿宋_GB2312" w:hAnsi="Times New Roman" w:hint="eastAsia"/>
          <w:color w:val="000000" w:themeColor="text1"/>
          <w:sz w:val="32"/>
          <w:szCs w:val="32"/>
        </w:rPr>
        <w:t>1</w:t>
      </w:r>
      <w:r>
        <w:rPr>
          <w:rFonts w:ascii="Times New Roman" w:eastAsia="仿宋_GB2312" w:hAnsi="Times New Roman" w:hint="eastAsia"/>
          <w:color w:val="000000" w:themeColor="text1"/>
          <w:sz w:val="32"/>
          <w:szCs w:val="32"/>
        </w:rPr>
        <w:t>件</w:t>
      </w:r>
      <w:r>
        <w:rPr>
          <w:rFonts w:ascii="Times New Roman" w:eastAsia="仿宋_GB2312" w:hAnsi="Times New Roman" w:hint="eastAsia"/>
          <w:color w:val="000000" w:themeColor="text1"/>
          <w:sz w:val="32"/>
          <w:szCs w:val="32"/>
        </w:rPr>
        <w:t>1</w:t>
      </w:r>
      <w:r>
        <w:rPr>
          <w:rFonts w:ascii="Times New Roman" w:eastAsia="仿宋_GB2312" w:hAnsi="Times New Roman" w:hint="eastAsia"/>
          <w:color w:val="000000" w:themeColor="text1"/>
          <w:sz w:val="32"/>
          <w:szCs w:val="32"/>
        </w:rPr>
        <w:t>人</w:t>
      </w:r>
      <w:r>
        <w:rPr>
          <w:rFonts w:ascii="Times New Roman" w:eastAsia="仿宋_GB2312" w:hAnsi="Times New Roman"/>
          <w:color w:val="000000" w:themeColor="text1"/>
          <w:sz w:val="32"/>
          <w:szCs w:val="32"/>
        </w:rPr>
        <w:t>。</w:t>
      </w:r>
    </w:p>
    <w:p w:rsidR="00930F10" w:rsidRDefault="00930F10" w:rsidP="00930F10">
      <w:pPr>
        <w:spacing w:line="560" w:lineRule="exact"/>
        <w:ind w:firstLineChars="200" w:firstLine="640"/>
        <w:rPr>
          <w:rFonts w:ascii="Times New Roman" w:eastAsia="仿宋_GB2312" w:hAnsi="Times New Roman"/>
          <w:color w:val="000000" w:themeColor="text1"/>
          <w:sz w:val="32"/>
          <w:szCs w:val="32"/>
        </w:rPr>
      </w:pPr>
      <w:r>
        <w:rPr>
          <w:rFonts w:ascii="Times New Roman" w:eastAsia="楷体_GB2312" w:hAnsi="Times New Roman" w:hint="eastAsia"/>
          <w:b/>
          <w:color w:val="000000" w:themeColor="text1"/>
          <w:sz w:val="32"/>
          <w:szCs w:val="32"/>
        </w:rPr>
        <w:t>全力推进</w:t>
      </w:r>
      <w:r>
        <w:rPr>
          <w:rFonts w:ascii="Times New Roman" w:eastAsia="楷体_GB2312" w:hAnsi="Times New Roman"/>
          <w:b/>
          <w:color w:val="000000" w:themeColor="text1"/>
          <w:sz w:val="32"/>
          <w:szCs w:val="32"/>
        </w:rPr>
        <w:t>扫黑除恶</w:t>
      </w:r>
      <w:r>
        <w:rPr>
          <w:rFonts w:ascii="Times New Roman" w:eastAsia="楷体_GB2312" w:hAnsi="Times New Roman" w:hint="eastAsia"/>
          <w:b/>
          <w:color w:val="000000" w:themeColor="text1"/>
          <w:sz w:val="32"/>
          <w:szCs w:val="32"/>
        </w:rPr>
        <w:t>专项斗争</w:t>
      </w:r>
      <w:r>
        <w:rPr>
          <w:rFonts w:ascii="Times New Roman" w:eastAsia="楷体_GB2312" w:hAnsi="Times New Roman"/>
          <w:b/>
          <w:color w:val="000000" w:themeColor="text1"/>
          <w:sz w:val="32"/>
          <w:szCs w:val="32"/>
        </w:rPr>
        <w:t>。</w:t>
      </w:r>
      <w:r>
        <w:rPr>
          <w:rFonts w:ascii="Times New Roman" w:eastAsia="仿宋_GB2312" w:hAnsi="Times New Roman" w:hint="eastAsia"/>
          <w:color w:val="000000" w:themeColor="text1"/>
          <w:sz w:val="32"/>
          <w:szCs w:val="32"/>
        </w:rPr>
        <w:t>坚持除恶务尽与坚守法治相统一，做到“是黑恶犯罪一个不放过、不是黑恶犯罪一个不凑数”，共起诉涉黑涉恶犯罪案件</w:t>
      </w:r>
      <w:r>
        <w:rPr>
          <w:rFonts w:ascii="Times New Roman" w:eastAsia="仿宋_GB2312" w:hAnsi="Times New Roman" w:hint="eastAsia"/>
          <w:color w:val="000000" w:themeColor="text1"/>
          <w:sz w:val="32"/>
          <w:szCs w:val="32"/>
        </w:rPr>
        <w:t>6</w:t>
      </w:r>
      <w:r>
        <w:rPr>
          <w:rFonts w:ascii="Times New Roman" w:eastAsia="仿宋_GB2312" w:hAnsi="Times New Roman"/>
          <w:color w:val="000000" w:themeColor="text1"/>
          <w:sz w:val="32"/>
          <w:szCs w:val="32"/>
        </w:rPr>
        <w:t>件</w:t>
      </w:r>
      <w:r>
        <w:rPr>
          <w:rFonts w:ascii="Times New Roman" w:eastAsia="仿宋_GB2312" w:hAnsi="Times New Roman"/>
          <w:color w:val="000000" w:themeColor="text1"/>
          <w:sz w:val="32"/>
          <w:szCs w:val="32"/>
        </w:rPr>
        <w:t>54</w:t>
      </w:r>
      <w:r>
        <w:rPr>
          <w:rFonts w:ascii="Times New Roman" w:eastAsia="仿宋_GB2312" w:hAnsi="Times New Roman"/>
          <w:color w:val="000000" w:themeColor="text1"/>
          <w:sz w:val="32"/>
          <w:szCs w:val="32"/>
        </w:rPr>
        <w:t>人，依法追捕</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人，不批捕</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人；</w:t>
      </w:r>
      <w:r>
        <w:rPr>
          <w:rFonts w:ascii="Times New Roman" w:eastAsia="仿宋_GB2312" w:hAnsi="Times New Roman" w:hint="eastAsia"/>
          <w:color w:val="000000" w:themeColor="text1"/>
          <w:sz w:val="32"/>
          <w:szCs w:val="32"/>
        </w:rPr>
        <w:t>坚持</w:t>
      </w:r>
      <w:r>
        <w:rPr>
          <w:rFonts w:ascii="仿宋_GB2312" w:eastAsia="仿宋_GB2312" w:hAnsi="Times New Roman" w:hint="eastAsia"/>
          <w:color w:val="000000" w:themeColor="text1"/>
          <w:sz w:val="32"/>
          <w:szCs w:val="32"/>
        </w:rPr>
        <w:t>“打伞破网”“打财断血”同</w:t>
      </w:r>
      <w:r>
        <w:rPr>
          <w:rFonts w:ascii="Times New Roman" w:eastAsia="仿宋_GB2312" w:hAnsi="Times New Roman"/>
          <w:color w:val="000000" w:themeColor="text1"/>
          <w:sz w:val="32"/>
          <w:szCs w:val="32"/>
        </w:rPr>
        <w:t>步发力，打击涉及李杰恶势力犯罪集团及刘文杰（大肥）黑社会性质组织犯罪</w:t>
      </w:r>
      <w:r>
        <w:rPr>
          <w:rFonts w:ascii="仿宋_GB2312" w:eastAsia="仿宋_GB2312" w:hAnsi="Times New Roman" w:hint="eastAsia"/>
          <w:color w:val="000000" w:themeColor="text1"/>
          <w:sz w:val="32"/>
          <w:szCs w:val="32"/>
        </w:rPr>
        <w:t>“保护伞”</w:t>
      </w: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人，对</w:t>
      </w:r>
      <w:r>
        <w:rPr>
          <w:rFonts w:ascii="Times New Roman" w:eastAsia="仿宋_GB2312" w:hAnsi="Times New Roman" w:hint="eastAsia"/>
          <w:color w:val="000000" w:themeColor="text1"/>
          <w:sz w:val="32"/>
          <w:szCs w:val="32"/>
        </w:rPr>
        <w:t>黑恶势力犯罪</w:t>
      </w:r>
      <w:r>
        <w:rPr>
          <w:rFonts w:ascii="Times New Roman" w:eastAsia="仿宋_GB2312" w:hAnsi="Times New Roman"/>
          <w:color w:val="000000" w:themeColor="text1"/>
          <w:sz w:val="32"/>
          <w:szCs w:val="32"/>
        </w:rPr>
        <w:t>案件依法提出涉案财产处置意见，</w:t>
      </w:r>
      <w:r>
        <w:rPr>
          <w:rFonts w:ascii="Times New Roman" w:eastAsia="仿宋_GB2312" w:hAnsi="Times New Roman" w:hint="eastAsia"/>
          <w:color w:val="000000" w:themeColor="text1"/>
          <w:sz w:val="32"/>
          <w:szCs w:val="32"/>
        </w:rPr>
        <w:t>坚决</w:t>
      </w:r>
      <w:r>
        <w:rPr>
          <w:rFonts w:ascii="Times New Roman" w:eastAsia="仿宋_GB2312" w:hAnsi="Times New Roman"/>
          <w:color w:val="000000" w:themeColor="text1"/>
          <w:sz w:val="32"/>
          <w:szCs w:val="32"/>
        </w:rPr>
        <w:t>铲除黑恶势力经济基础</w:t>
      </w:r>
      <w:r>
        <w:rPr>
          <w:rFonts w:ascii="Times New Roman" w:eastAsia="仿宋_GB2312" w:hAnsi="Times New Roman" w:hint="eastAsia"/>
          <w:color w:val="000000" w:themeColor="text1"/>
          <w:sz w:val="32"/>
          <w:szCs w:val="32"/>
        </w:rPr>
        <w:t>；注重</w:t>
      </w:r>
      <w:r>
        <w:rPr>
          <w:rFonts w:ascii="Times New Roman" w:eastAsia="仿宋_GB2312" w:hAnsi="Times New Roman"/>
          <w:color w:val="000000" w:themeColor="text1"/>
          <w:sz w:val="32"/>
          <w:szCs w:val="32"/>
        </w:rPr>
        <w:t>深化行业清源，提出社会治理领域检察建议</w:t>
      </w: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份，</w:t>
      </w:r>
      <w:r>
        <w:rPr>
          <w:rFonts w:ascii="Times New Roman" w:eastAsia="仿宋_GB2312" w:hAnsi="Times New Roman" w:hint="eastAsia"/>
          <w:color w:val="000000" w:themeColor="text1"/>
          <w:sz w:val="32"/>
          <w:szCs w:val="32"/>
        </w:rPr>
        <w:t>助力</w:t>
      </w:r>
      <w:r>
        <w:rPr>
          <w:rFonts w:ascii="Times New Roman" w:eastAsia="仿宋_GB2312" w:hAnsi="Times New Roman"/>
          <w:color w:val="000000" w:themeColor="text1"/>
          <w:sz w:val="32"/>
          <w:szCs w:val="32"/>
        </w:rPr>
        <w:t>完善共建共治共管机制。</w:t>
      </w:r>
    </w:p>
    <w:p w:rsidR="00930F10" w:rsidRDefault="00930F10" w:rsidP="00930F10">
      <w:pPr>
        <w:spacing w:line="560" w:lineRule="exact"/>
        <w:ind w:firstLineChars="200" w:firstLine="640"/>
        <w:rPr>
          <w:rFonts w:ascii="Times New Roman" w:eastAsia="黑体" w:hAnsi="Times New Roman"/>
          <w:sz w:val="32"/>
          <w:szCs w:val="32"/>
        </w:rPr>
      </w:pPr>
      <w:r>
        <w:rPr>
          <w:rStyle w:val="NormalCharacter"/>
          <w:rFonts w:ascii="楷体_GB2312" w:eastAsia="楷体_GB2312" w:hAnsi="楷体_GB2312" w:cs="楷体_GB2312" w:hint="eastAsia"/>
          <w:b/>
          <w:bCs/>
          <w:color w:val="000000" w:themeColor="text1"/>
          <w:sz w:val="32"/>
          <w:szCs w:val="32"/>
        </w:rPr>
        <w:t>全力</w:t>
      </w:r>
      <w:r>
        <w:rPr>
          <w:rFonts w:ascii="Times New Roman" w:eastAsia="楷体_GB2312" w:hAnsi="Times New Roman" w:hint="eastAsia"/>
          <w:b/>
          <w:color w:val="000000" w:themeColor="text1"/>
          <w:sz w:val="32"/>
          <w:szCs w:val="32"/>
        </w:rPr>
        <w:t>服务保障“三大攻坚战”。</w:t>
      </w:r>
      <w:r>
        <w:rPr>
          <w:rFonts w:ascii="Times New Roman" w:eastAsia="仿宋_GB2312" w:hAnsi="Times New Roman"/>
          <w:color w:val="000000" w:themeColor="text1"/>
          <w:sz w:val="32"/>
          <w:szCs w:val="32"/>
        </w:rPr>
        <w:t>起诉金融诈骗、洗钱等破坏金融管理秩序犯罪</w:t>
      </w:r>
      <w:r>
        <w:rPr>
          <w:rFonts w:ascii="Times New Roman" w:eastAsia="仿宋_GB2312" w:hAnsi="Times New Roman"/>
          <w:color w:val="000000" w:themeColor="text1"/>
          <w:sz w:val="32"/>
          <w:szCs w:val="32"/>
        </w:rPr>
        <w:t>1</w:t>
      </w:r>
      <w:r>
        <w:rPr>
          <w:rFonts w:ascii="Times New Roman" w:eastAsia="仿宋_GB2312" w:hAnsi="Times New Roman" w:hint="eastAsia"/>
          <w:color w:val="000000" w:themeColor="text1"/>
          <w:sz w:val="32"/>
          <w:szCs w:val="32"/>
        </w:rPr>
        <w:t>1</w:t>
      </w:r>
      <w:r>
        <w:rPr>
          <w:rFonts w:ascii="Times New Roman" w:eastAsia="仿宋_GB2312" w:hAnsi="Times New Roman"/>
          <w:color w:val="000000" w:themeColor="text1"/>
          <w:sz w:val="32"/>
          <w:szCs w:val="32"/>
        </w:rPr>
        <w:t>件</w:t>
      </w:r>
      <w:r>
        <w:rPr>
          <w:rFonts w:ascii="Times New Roman" w:eastAsia="仿宋_GB2312" w:hAnsi="Times New Roman"/>
          <w:color w:val="000000" w:themeColor="text1"/>
          <w:sz w:val="32"/>
          <w:szCs w:val="32"/>
        </w:rPr>
        <w:t>2</w:t>
      </w:r>
      <w:r>
        <w:rPr>
          <w:rFonts w:ascii="Times New Roman" w:eastAsia="仿宋_GB2312" w:hAnsi="Times New Roman" w:hint="eastAsia"/>
          <w:color w:val="000000" w:themeColor="text1"/>
          <w:sz w:val="32"/>
          <w:szCs w:val="32"/>
        </w:rPr>
        <w:t>0</w:t>
      </w:r>
      <w:r>
        <w:rPr>
          <w:rFonts w:ascii="Times New Roman" w:eastAsia="仿宋_GB2312" w:hAnsi="Times New Roman"/>
          <w:color w:val="000000" w:themeColor="text1"/>
          <w:sz w:val="32"/>
          <w:szCs w:val="32"/>
        </w:rPr>
        <w:t>人，追赃挽损</w:t>
      </w:r>
      <w:r>
        <w:rPr>
          <w:rFonts w:ascii="Times New Roman" w:eastAsia="仿宋_GB2312" w:hAnsi="Times New Roman" w:hint="eastAsia"/>
          <w:color w:val="000000" w:themeColor="text1"/>
          <w:sz w:val="32"/>
          <w:szCs w:val="32"/>
        </w:rPr>
        <w:t>近</w:t>
      </w:r>
      <w:r>
        <w:rPr>
          <w:rFonts w:ascii="Times New Roman" w:eastAsia="仿宋_GB2312" w:hAnsi="Times New Roman" w:hint="eastAsia"/>
          <w:color w:val="000000" w:themeColor="text1"/>
          <w:sz w:val="32"/>
          <w:szCs w:val="32"/>
        </w:rPr>
        <w:t>400</w:t>
      </w:r>
      <w:r>
        <w:rPr>
          <w:rFonts w:ascii="Times New Roman" w:eastAsia="仿宋_GB2312" w:hAnsi="Times New Roman"/>
          <w:color w:val="000000" w:themeColor="text1"/>
          <w:sz w:val="32"/>
          <w:szCs w:val="32"/>
        </w:rPr>
        <w:t>万元，办理涉案金额</w:t>
      </w:r>
      <w:r>
        <w:rPr>
          <w:rFonts w:ascii="Times New Roman" w:eastAsia="仿宋_GB2312" w:hAnsi="Times New Roman"/>
          <w:color w:val="000000" w:themeColor="text1"/>
          <w:sz w:val="32"/>
          <w:szCs w:val="32"/>
        </w:rPr>
        <w:t>2000</w:t>
      </w:r>
      <w:r>
        <w:rPr>
          <w:rFonts w:ascii="Times New Roman" w:eastAsia="仿宋_GB2312" w:hAnsi="Times New Roman"/>
          <w:color w:val="000000" w:themeColor="text1"/>
          <w:sz w:val="32"/>
          <w:szCs w:val="32"/>
        </w:rPr>
        <w:t>万元以上案</w:t>
      </w:r>
      <w:r>
        <w:rPr>
          <w:rFonts w:ascii="Times New Roman" w:eastAsia="仿宋_GB2312" w:hAnsi="仿宋_GB2312"/>
          <w:color w:val="000000" w:themeColor="text1"/>
          <w:sz w:val="32"/>
          <w:szCs w:val="32"/>
        </w:rPr>
        <w:t>件</w:t>
      </w:r>
      <w:bookmarkStart w:id="0" w:name="_GoBack"/>
      <w:r>
        <w:rPr>
          <w:rFonts w:ascii="Times New Roman" w:eastAsia="仿宋_GB2312" w:hAnsi="Times New Roman"/>
          <w:color w:val="000000" w:themeColor="text1"/>
          <w:sz w:val="32"/>
          <w:szCs w:val="32"/>
        </w:rPr>
        <w:t>4</w:t>
      </w:r>
      <w:bookmarkEnd w:id="0"/>
      <w:r>
        <w:rPr>
          <w:rFonts w:ascii="Times New Roman" w:eastAsia="仿宋_GB2312" w:hAnsi="Times New Roman"/>
          <w:color w:val="000000" w:themeColor="text1"/>
          <w:sz w:val="32"/>
          <w:szCs w:val="32"/>
        </w:rPr>
        <w:t>件。配合公安机关成功办理被害人多达</w:t>
      </w:r>
      <w:r>
        <w:rPr>
          <w:rFonts w:ascii="Times New Roman" w:eastAsia="仿宋_GB2312" w:hAnsi="Times New Roman"/>
          <w:color w:val="000000" w:themeColor="text1"/>
          <w:sz w:val="32"/>
          <w:szCs w:val="32"/>
        </w:rPr>
        <w:t>282</w:t>
      </w:r>
      <w:r>
        <w:rPr>
          <w:rFonts w:ascii="Times New Roman" w:eastAsia="仿宋_GB2312" w:hAnsi="Times New Roman"/>
          <w:color w:val="000000" w:themeColor="text1"/>
          <w:sz w:val="32"/>
          <w:szCs w:val="32"/>
        </w:rPr>
        <w:t>人的跨地区团伙</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老妈乐</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非法吸收公众存款案，打掉多达千人参赌的网络赌博平台</w:t>
      </w:r>
      <w:r>
        <w:rPr>
          <w:rFonts w:ascii="Times New Roman" w:eastAsia="仿宋_GB2312" w:hAnsi="Times New Roman" w:hint="eastAsia"/>
          <w:color w:val="000000" w:themeColor="text1"/>
          <w:sz w:val="32"/>
          <w:szCs w:val="32"/>
        </w:rPr>
        <w:t>1</w:t>
      </w:r>
      <w:r>
        <w:rPr>
          <w:rFonts w:ascii="Times New Roman" w:eastAsia="仿宋_GB2312" w:hAnsi="Times New Roman" w:hint="eastAsia"/>
          <w:color w:val="000000" w:themeColor="text1"/>
          <w:sz w:val="32"/>
          <w:szCs w:val="32"/>
        </w:rPr>
        <w:t>个</w:t>
      </w:r>
      <w:r>
        <w:rPr>
          <w:rFonts w:ascii="Times New Roman" w:eastAsia="仿宋_GB2312" w:hAnsi="Times New Roman"/>
          <w:color w:val="000000" w:themeColor="text1"/>
          <w:sz w:val="32"/>
          <w:szCs w:val="32"/>
        </w:rPr>
        <w:t>。依托司法办案</w:t>
      </w:r>
      <w:r>
        <w:rPr>
          <w:rFonts w:ascii="Times New Roman" w:eastAsia="仿宋_GB2312" w:hAnsi="Times New Roman" w:hint="eastAsia"/>
          <w:color w:val="000000" w:themeColor="text1"/>
          <w:sz w:val="32"/>
          <w:szCs w:val="32"/>
        </w:rPr>
        <w:t>，防止出现“因案致贫”情况，通过精准帮扶举措，帮助包联贫困户稳定脱贫。</w:t>
      </w:r>
      <w:r>
        <w:rPr>
          <w:rFonts w:ascii="Times New Roman" w:eastAsia="仿宋_GB2312" w:hAnsi="Times New Roman"/>
          <w:color w:val="000000" w:themeColor="text1"/>
          <w:sz w:val="32"/>
          <w:szCs w:val="32"/>
        </w:rPr>
        <w:t>守护生态环境，起诉破坏环境资源类犯罪</w:t>
      </w:r>
      <w:r>
        <w:rPr>
          <w:rFonts w:ascii="Times New Roman" w:eastAsia="仿宋_GB2312" w:hAnsi="Times New Roman"/>
          <w:color w:val="000000" w:themeColor="text1"/>
          <w:sz w:val="32"/>
          <w:szCs w:val="32"/>
        </w:rPr>
        <w:t>13</w:t>
      </w:r>
      <w:r>
        <w:rPr>
          <w:rFonts w:ascii="Times New Roman" w:eastAsia="仿宋_GB2312" w:hAnsi="Times New Roman"/>
          <w:color w:val="000000" w:themeColor="text1"/>
          <w:sz w:val="32"/>
          <w:szCs w:val="32"/>
        </w:rPr>
        <w:t>件</w:t>
      </w:r>
      <w:r>
        <w:rPr>
          <w:rFonts w:ascii="Times New Roman" w:eastAsia="仿宋_GB2312" w:hAnsi="Times New Roman"/>
          <w:color w:val="000000" w:themeColor="text1"/>
          <w:sz w:val="32"/>
          <w:szCs w:val="32"/>
        </w:rPr>
        <w:t>16</w:t>
      </w:r>
      <w:r>
        <w:rPr>
          <w:rFonts w:ascii="Times New Roman" w:eastAsia="仿宋_GB2312" w:hAnsi="仿宋_GB2312"/>
          <w:color w:val="000000" w:themeColor="text1"/>
          <w:sz w:val="32"/>
          <w:szCs w:val="32"/>
        </w:rPr>
        <w:t>人。</w:t>
      </w:r>
    </w:p>
    <w:p w:rsidR="00930F10" w:rsidRDefault="00930F10" w:rsidP="00930F10">
      <w:pPr>
        <w:spacing w:line="560" w:lineRule="exact"/>
        <w:ind w:firstLineChars="200" w:firstLine="640"/>
        <w:rPr>
          <w:rFonts w:ascii="Times New Roman" w:eastAsia="黑体" w:hAnsi="Times New Roman"/>
          <w:sz w:val="32"/>
          <w:szCs w:val="32"/>
        </w:rPr>
      </w:pPr>
      <w:r>
        <w:rPr>
          <w:rStyle w:val="NormalCharacter"/>
          <w:rFonts w:ascii="楷体_GB2312" w:eastAsia="楷体_GB2312" w:hAnsi="楷体_GB2312" w:cs="楷体_GB2312" w:hint="eastAsia"/>
          <w:b/>
          <w:bCs/>
          <w:color w:val="000000" w:themeColor="text1"/>
          <w:sz w:val="32"/>
          <w:szCs w:val="32"/>
        </w:rPr>
        <w:t>全力优化法治化营商环境。</w:t>
      </w:r>
      <w:r>
        <w:rPr>
          <w:rFonts w:ascii="Times New Roman" w:eastAsia="仿宋_GB2312" w:hAnsi="仿宋_GB2312"/>
          <w:color w:val="000000" w:themeColor="text1"/>
          <w:sz w:val="32"/>
          <w:szCs w:val="32"/>
        </w:rPr>
        <w:t>办理破坏社会主义市场经济秩序</w:t>
      </w:r>
      <w:r>
        <w:rPr>
          <w:rFonts w:ascii="Times New Roman" w:eastAsia="仿宋_GB2312" w:hAnsi="仿宋_GB2312" w:hint="eastAsia"/>
          <w:color w:val="000000" w:themeColor="text1"/>
          <w:sz w:val="32"/>
          <w:szCs w:val="32"/>
        </w:rPr>
        <w:lastRenderedPageBreak/>
        <w:t>案</w:t>
      </w:r>
      <w:r>
        <w:rPr>
          <w:rFonts w:ascii="Times New Roman" w:eastAsia="仿宋_GB2312" w:hAnsi="仿宋_GB2312" w:hint="eastAsia"/>
          <w:color w:val="000000" w:themeColor="text1"/>
          <w:sz w:val="32"/>
          <w:szCs w:val="32"/>
        </w:rPr>
        <w:t>60</w:t>
      </w:r>
      <w:r>
        <w:rPr>
          <w:rFonts w:ascii="Times New Roman" w:eastAsia="仿宋_GB2312" w:hAnsi="仿宋_GB2312"/>
          <w:color w:val="000000" w:themeColor="text1"/>
          <w:sz w:val="32"/>
          <w:szCs w:val="32"/>
        </w:rPr>
        <w:t>件</w:t>
      </w:r>
      <w:r>
        <w:rPr>
          <w:rFonts w:ascii="Times New Roman" w:eastAsia="仿宋_GB2312" w:hAnsi="Times New Roman" w:hint="eastAsia"/>
          <w:color w:val="000000" w:themeColor="text1"/>
          <w:sz w:val="32"/>
          <w:szCs w:val="32"/>
        </w:rPr>
        <w:t>96</w:t>
      </w:r>
      <w:r>
        <w:rPr>
          <w:rFonts w:ascii="Times New Roman" w:eastAsia="仿宋_GB2312" w:hAnsi="仿宋_GB2312"/>
          <w:color w:val="000000" w:themeColor="text1"/>
          <w:sz w:val="32"/>
          <w:szCs w:val="32"/>
        </w:rPr>
        <w:t>人，</w:t>
      </w:r>
      <w:r>
        <w:rPr>
          <w:rFonts w:ascii="仿宋_GB2312" w:eastAsia="仿宋_GB2312" w:hAnsi="仿宋_GB2312" w:cs="仿宋_GB2312"/>
          <w:color w:val="000000"/>
          <w:sz w:val="32"/>
          <w:szCs w:val="32"/>
        </w:rPr>
        <w:t>落实“六稳”“六保”，</w:t>
      </w:r>
      <w:r>
        <w:rPr>
          <w:rFonts w:ascii="仿宋_GB2312" w:eastAsia="仿宋_GB2312" w:hAnsi="仿宋_GB2312" w:cs="仿宋_GB2312" w:hint="eastAsia"/>
          <w:color w:val="000000" w:themeColor="text1"/>
          <w:sz w:val="32"/>
          <w:szCs w:val="32"/>
        </w:rPr>
        <w:t>最大限度减少司法办案对企业正常生产经营影响</w:t>
      </w:r>
      <w:r>
        <w:rPr>
          <w:rFonts w:ascii="Times New Roman" w:eastAsia="仿宋_GB2312" w:hAnsi="仿宋_GB2312"/>
          <w:color w:val="000000" w:themeColor="text1"/>
          <w:sz w:val="32"/>
          <w:szCs w:val="32"/>
        </w:rPr>
        <w:t>，对</w:t>
      </w:r>
      <w:r>
        <w:rPr>
          <w:rFonts w:ascii="Times New Roman" w:eastAsia="仿宋_GB2312" w:hAnsi="Times New Roman" w:hint="eastAsia"/>
          <w:color w:val="000000" w:themeColor="text1"/>
          <w:sz w:val="32"/>
          <w:szCs w:val="32"/>
        </w:rPr>
        <w:t>4</w:t>
      </w:r>
      <w:r>
        <w:rPr>
          <w:rFonts w:ascii="Times New Roman" w:eastAsia="仿宋_GB2312" w:hAnsi="仿宋_GB2312"/>
          <w:color w:val="000000" w:themeColor="text1"/>
          <w:sz w:val="32"/>
          <w:szCs w:val="32"/>
        </w:rPr>
        <w:t>件涉企案件进行公开听证，对</w:t>
      </w:r>
      <w:r>
        <w:rPr>
          <w:rFonts w:ascii="Times New Roman" w:eastAsia="仿宋_GB2312" w:hAnsi="Times New Roman" w:hint="eastAsia"/>
          <w:color w:val="000000" w:themeColor="text1"/>
          <w:sz w:val="32"/>
          <w:szCs w:val="32"/>
        </w:rPr>
        <w:t>8</w:t>
      </w:r>
      <w:r>
        <w:rPr>
          <w:rFonts w:ascii="Times New Roman" w:eastAsia="仿宋_GB2312" w:hAnsi="仿宋_GB2312"/>
          <w:color w:val="000000" w:themeColor="text1"/>
          <w:sz w:val="32"/>
          <w:szCs w:val="32"/>
        </w:rPr>
        <w:t>人作出相对不起诉决定。研发</w:t>
      </w:r>
      <w:r>
        <w:rPr>
          <w:rFonts w:ascii="Times New Roman" w:eastAsia="仿宋_GB2312" w:hAnsi="Times New Roman"/>
          <w:color w:val="000000" w:themeColor="text1"/>
          <w:sz w:val="32"/>
          <w:szCs w:val="32"/>
        </w:rPr>
        <w:t>“</w:t>
      </w:r>
      <w:r>
        <w:rPr>
          <w:rFonts w:ascii="Times New Roman" w:eastAsia="仿宋_GB2312" w:hAnsi="仿宋_GB2312"/>
          <w:color w:val="000000" w:themeColor="text1"/>
          <w:sz w:val="32"/>
          <w:szCs w:val="32"/>
        </w:rPr>
        <w:t>服务非公经济信息共享平台</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w:t>
      </w:r>
      <w:r>
        <w:rPr>
          <w:rFonts w:ascii="Times New Roman" w:eastAsia="仿宋_GB2312" w:hAnsi="仿宋_GB2312"/>
          <w:color w:val="000000" w:themeColor="text1"/>
          <w:sz w:val="32"/>
          <w:szCs w:val="32"/>
        </w:rPr>
        <w:t>搭建企业与各行政机关沟通的桥梁，为企业提供法治服务</w:t>
      </w:r>
      <w:r>
        <w:rPr>
          <w:rFonts w:ascii="Times New Roman" w:eastAsia="仿宋_GB2312" w:hAnsi="Times New Roman"/>
          <w:color w:val="000000" w:themeColor="text1"/>
          <w:sz w:val="32"/>
          <w:szCs w:val="32"/>
        </w:rPr>
        <w:t>400</w:t>
      </w:r>
      <w:r>
        <w:rPr>
          <w:rFonts w:ascii="Times New Roman" w:eastAsia="仿宋_GB2312" w:hAnsi="仿宋_GB2312"/>
          <w:color w:val="000000" w:themeColor="text1"/>
          <w:sz w:val="32"/>
          <w:szCs w:val="32"/>
        </w:rPr>
        <w:t>余次，平台被</w:t>
      </w:r>
      <w:r>
        <w:rPr>
          <w:rFonts w:ascii="Times New Roman" w:eastAsia="仿宋_GB2312" w:hAnsi="Times New Roman"/>
          <w:color w:val="000000" w:themeColor="text1"/>
          <w:sz w:val="32"/>
          <w:szCs w:val="32"/>
        </w:rPr>
        <w:t>自治区检察院评为</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创新创优</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项目。</w:t>
      </w:r>
      <w:r>
        <w:rPr>
          <w:rFonts w:ascii="Times New Roman" w:eastAsia="仿宋_GB2312" w:hAnsi="仿宋_GB2312" w:hint="eastAsia"/>
          <w:color w:val="000000" w:themeColor="text1"/>
          <w:sz w:val="32"/>
          <w:szCs w:val="32"/>
        </w:rPr>
        <w:t>积极筹建服务非公经济法治护航中心，</w:t>
      </w:r>
      <w:r>
        <w:rPr>
          <w:rFonts w:ascii="Times New Roman" w:eastAsia="仿宋_GB2312" w:hAnsi="Times New Roman"/>
          <w:color w:val="000000" w:themeColor="text1"/>
          <w:sz w:val="32"/>
          <w:szCs w:val="32"/>
        </w:rPr>
        <w:t>开展</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护航民企发展</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检察开放日</w:t>
      </w: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次，听取企业司法需求及意见建议</w:t>
      </w:r>
      <w:r>
        <w:rPr>
          <w:rFonts w:ascii="Times New Roman" w:eastAsia="仿宋" w:hAnsi="仿宋"/>
          <w:sz w:val="32"/>
          <w:szCs w:val="32"/>
        </w:rPr>
        <w:t>。</w:t>
      </w:r>
    </w:p>
    <w:p w:rsidR="00930F10" w:rsidRDefault="00930F10" w:rsidP="00930F10">
      <w:pPr>
        <w:pBdr>
          <w:bottom w:val="single" w:sz="4" w:space="18" w:color="FFFFFF"/>
        </w:pBdr>
        <w:shd w:val="clear" w:color="auto" w:fill="FFFFFF" w:themeFill="background1"/>
        <w:tabs>
          <w:tab w:val="left" w:pos="7380"/>
        </w:tabs>
        <w:snapToGrid w:val="0"/>
        <w:spacing w:line="560" w:lineRule="exact"/>
        <w:ind w:firstLineChars="200" w:firstLine="643"/>
        <w:textAlignment w:val="baseline"/>
        <w:rPr>
          <w:rFonts w:ascii="Times New Roman" w:eastAsia="黑体" w:hAnsi="Times New Roman"/>
          <w:b/>
          <w:color w:val="000000" w:themeColor="text1"/>
          <w:sz w:val="32"/>
          <w:szCs w:val="32"/>
        </w:rPr>
      </w:pPr>
      <w:r>
        <w:rPr>
          <w:rFonts w:ascii="Times New Roman" w:eastAsia="黑体" w:hAnsi="Times New Roman"/>
          <w:b/>
          <w:color w:val="000000" w:themeColor="text1"/>
          <w:sz w:val="32"/>
          <w:szCs w:val="32"/>
        </w:rPr>
        <w:t>二、</w:t>
      </w:r>
      <w:r>
        <w:rPr>
          <w:rFonts w:ascii="Times New Roman" w:eastAsia="黑体" w:hAnsi="Times New Roman"/>
          <w:b/>
          <w:sz w:val="32"/>
          <w:szCs w:val="32"/>
        </w:rPr>
        <w:t>聚焦主责主业，维护公平正义</w:t>
      </w:r>
    </w:p>
    <w:p w:rsidR="00930F10" w:rsidRDefault="00930F10" w:rsidP="00930F10">
      <w:pPr>
        <w:pBdr>
          <w:bottom w:val="single" w:sz="4" w:space="18" w:color="FFFFFF"/>
        </w:pBdr>
        <w:shd w:val="clear" w:color="auto" w:fill="FFFFFF" w:themeFill="background1"/>
        <w:tabs>
          <w:tab w:val="left" w:pos="7380"/>
        </w:tabs>
        <w:snapToGrid w:val="0"/>
        <w:spacing w:line="560" w:lineRule="exact"/>
        <w:ind w:firstLineChars="200" w:firstLine="640"/>
        <w:textAlignment w:val="baseline"/>
        <w:rPr>
          <w:rFonts w:ascii="Times New Roman" w:eastAsia="仿宋_GB2312" w:hAnsi="Times New Roman"/>
          <w:sz w:val="32"/>
          <w:szCs w:val="32"/>
        </w:rPr>
      </w:pPr>
      <w:r>
        <w:rPr>
          <w:rFonts w:ascii="Times New Roman" w:eastAsia="楷体_GB2312" w:hAnsi="楷体_GB2312"/>
          <w:b/>
          <w:bCs/>
          <w:sz w:val="32"/>
          <w:szCs w:val="32"/>
        </w:rPr>
        <w:t>刑事检察更加有力。</w:t>
      </w:r>
      <w:r>
        <w:rPr>
          <w:rFonts w:ascii="仿宋_GB2312" w:eastAsia="仿宋_GB2312" w:hint="eastAsia"/>
          <w:sz w:val="32"/>
          <w:szCs w:val="32"/>
        </w:rPr>
        <w:t>批捕各类刑事案件</w:t>
      </w:r>
      <w:r>
        <w:rPr>
          <w:rFonts w:ascii="Times New Roman" w:hAnsi="Times New Roman" w:hint="eastAsia"/>
          <w:sz w:val="32"/>
          <w:szCs w:val="32"/>
        </w:rPr>
        <w:t>387</w:t>
      </w:r>
      <w:r>
        <w:rPr>
          <w:rFonts w:ascii="仿宋_GB2312" w:eastAsia="仿宋_GB2312" w:hAnsi="Times New Roman"/>
          <w:sz w:val="32"/>
          <w:szCs w:val="32"/>
        </w:rPr>
        <w:t>件</w:t>
      </w:r>
      <w:r>
        <w:rPr>
          <w:rFonts w:ascii="Times New Roman" w:hAnsi="Times New Roman" w:hint="eastAsia"/>
          <w:sz w:val="32"/>
          <w:szCs w:val="32"/>
        </w:rPr>
        <w:t>539</w:t>
      </w:r>
      <w:r>
        <w:rPr>
          <w:rFonts w:ascii="仿宋_GB2312" w:eastAsia="仿宋_GB2312" w:hAnsi="Times New Roman"/>
          <w:sz w:val="32"/>
          <w:szCs w:val="32"/>
        </w:rPr>
        <w:t>人，起诉</w:t>
      </w:r>
      <w:r>
        <w:rPr>
          <w:rFonts w:ascii="Times New Roman" w:hAnsi="Times New Roman" w:hint="eastAsia"/>
          <w:sz w:val="32"/>
          <w:szCs w:val="32"/>
        </w:rPr>
        <w:t>933</w:t>
      </w:r>
      <w:r>
        <w:rPr>
          <w:rFonts w:ascii="仿宋_GB2312" w:eastAsia="仿宋_GB2312" w:hAnsi="Times New Roman"/>
          <w:sz w:val="32"/>
          <w:szCs w:val="32"/>
        </w:rPr>
        <w:t>件</w:t>
      </w:r>
      <w:r>
        <w:rPr>
          <w:rFonts w:ascii="Times New Roman" w:hAnsi="Times New Roman" w:hint="eastAsia"/>
          <w:sz w:val="32"/>
          <w:szCs w:val="32"/>
        </w:rPr>
        <w:t>1203</w:t>
      </w:r>
      <w:r>
        <w:rPr>
          <w:rFonts w:ascii="仿宋_GB2312" w:eastAsia="仿宋_GB2312" w:hAnsi="Times New Roman"/>
          <w:sz w:val="32"/>
          <w:szCs w:val="32"/>
        </w:rPr>
        <w:t>人。牢固树立</w:t>
      </w:r>
      <w:r>
        <w:rPr>
          <w:rFonts w:ascii="仿宋_GB2312" w:eastAsia="仿宋_GB2312" w:hAnsi="仿宋_GB2312" w:cs="仿宋_GB2312" w:hint="eastAsia"/>
          <w:sz w:val="32"/>
          <w:szCs w:val="32"/>
        </w:rPr>
        <w:t>“</w:t>
      </w:r>
      <w:r>
        <w:rPr>
          <w:rFonts w:ascii="仿宋_GB2312" w:eastAsia="仿宋_GB2312" w:hAnsi="Times New Roman"/>
          <w:sz w:val="32"/>
          <w:szCs w:val="32"/>
        </w:rPr>
        <w:t>少捕慎诉慎押</w:t>
      </w:r>
      <w:r>
        <w:rPr>
          <w:rFonts w:ascii="仿宋_GB2312" w:eastAsia="仿宋_GB2312" w:hAnsi="仿宋_GB2312" w:cs="仿宋_GB2312" w:hint="eastAsia"/>
          <w:sz w:val="32"/>
          <w:szCs w:val="32"/>
        </w:rPr>
        <w:t>”</w:t>
      </w:r>
      <w:r>
        <w:rPr>
          <w:rFonts w:ascii="仿宋_GB2312" w:eastAsia="仿宋_GB2312" w:hAnsi="Times New Roman"/>
          <w:sz w:val="32"/>
          <w:szCs w:val="32"/>
        </w:rPr>
        <w:t>司法理念，依法不批捕</w:t>
      </w:r>
      <w:r>
        <w:rPr>
          <w:rFonts w:ascii="Times New Roman" w:hAnsi="Times New Roman" w:hint="eastAsia"/>
          <w:sz w:val="32"/>
          <w:szCs w:val="32"/>
        </w:rPr>
        <w:t>75</w:t>
      </w:r>
      <w:r>
        <w:rPr>
          <w:rFonts w:ascii="仿宋_GB2312" w:eastAsia="仿宋_GB2312" w:hAnsi="Times New Roman"/>
          <w:sz w:val="32"/>
          <w:szCs w:val="32"/>
        </w:rPr>
        <w:t>人、不起诉</w:t>
      </w:r>
      <w:r>
        <w:rPr>
          <w:rFonts w:ascii="Times New Roman" w:hAnsi="Times New Roman" w:hint="eastAsia"/>
          <w:sz w:val="32"/>
          <w:szCs w:val="32"/>
        </w:rPr>
        <w:t>97</w:t>
      </w:r>
      <w:r>
        <w:rPr>
          <w:rFonts w:ascii="仿宋_GB2312" w:eastAsia="仿宋_GB2312" w:hAnsi="Times New Roman"/>
          <w:sz w:val="32"/>
          <w:szCs w:val="32"/>
        </w:rPr>
        <w:t>人。认罪认罚从宽制度</w:t>
      </w:r>
      <w:r>
        <w:rPr>
          <w:rFonts w:ascii="仿宋_GB2312" w:eastAsia="仿宋_GB2312" w:hAnsi="Times New Roman" w:hint="eastAsia"/>
          <w:sz w:val="32"/>
          <w:szCs w:val="32"/>
        </w:rPr>
        <w:t>实施以来</w:t>
      </w:r>
      <w:r>
        <w:rPr>
          <w:rFonts w:ascii="仿宋_GB2312" w:eastAsia="仿宋_GB2312" w:hAnsi="Times New Roman"/>
          <w:sz w:val="32"/>
          <w:szCs w:val="32"/>
        </w:rPr>
        <w:t>，依法适用</w:t>
      </w:r>
      <w:r>
        <w:rPr>
          <w:rFonts w:ascii="Times New Roman" w:hAnsi="Times New Roman" w:hint="eastAsia"/>
          <w:sz w:val="32"/>
          <w:szCs w:val="32"/>
        </w:rPr>
        <w:t>851</w:t>
      </w:r>
      <w:r>
        <w:rPr>
          <w:rFonts w:ascii="仿宋_GB2312" w:eastAsia="仿宋_GB2312" w:hAnsi="Times New Roman"/>
          <w:sz w:val="32"/>
          <w:szCs w:val="32"/>
        </w:rPr>
        <w:t>人，适用率达</w:t>
      </w:r>
      <w:r>
        <w:rPr>
          <w:rFonts w:ascii="Times New Roman" w:hAnsi="Times New Roman"/>
          <w:sz w:val="32"/>
          <w:szCs w:val="32"/>
        </w:rPr>
        <w:t>90%</w:t>
      </w:r>
      <w:r>
        <w:rPr>
          <w:rFonts w:ascii="仿宋_GB2312" w:eastAsia="仿宋_GB2312" w:hAnsi="Times New Roman"/>
          <w:sz w:val="32"/>
          <w:szCs w:val="32"/>
        </w:rPr>
        <w:t>以上。充分发挥法律监督职能，监督立案</w:t>
      </w:r>
      <w:r>
        <w:rPr>
          <w:rFonts w:ascii="Times New Roman" w:hAnsi="Times New Roman" w:hint="eastAsia"/>
          <w:sz w:val="32"/>
          <w:szCs w:val="32"/>
        </w:rPr>
        <w:t>13</w:t>
      </w:r>
      <w:r>
        <w:rPr>
          <w:rFonts w:ascii="仿宋_GB2312" w:eastAsia="仿宋_GB2312" w:hAnsi="Times New Roman"/>
          <w:sz w:val="32"/>
          <w:szCs w:val="32"/>
        </w:rPr>
        <w:t>件、撤案</w:t>
      </w:r>
      <w:r>
        <w:rPr>
          <w:rFonts w:ascii="Times New Roman" w:hAnsi="Times New Roman" w:hint="eastAsia"/>
          <w:sz w:val="32"/>
          <w:szCs w:val="32"/>
        </w:rPr>
        <w:t>20</w:t>
      </w:r>
      <w:r>
        <w:rPr>
          <w:rFonts w:ascii="仿宋_GB2312" w:eastAsia="仿宋_GB2312" w:hAnsi="Times New Roman"/>
          <w:sz w:val="32"/>
          <w:szCs w:val="32"/>
        </w:rPr>
        <w:t>件，提出书面纠正意见</w:t>
      </w:r>
      <w:r>
        <w:rPr>
          <w:rFonts w:ascii="Times New Roman" w:hAnsi="Times New Roman" w:hint="eastAsia"/>
          <w:sz w:val="32"/>
          <w:szCs w:val="32"/>
        </w:rPr>
        <w:t>41</w:t>
      </w:r>
      <w:r>
        <w:rPr>
          <w:rFonts w:ascii="仿宋_GB2312" w:eastAsia="仿宋_GB2312" w:hAnsi="Times New Roman" w:hint="eastAsia"/>
          <w:sz w:val="32"/>
          <w:szCs w:val="32"/>
        </w:rPr>
        <w:t>份</w:t>
      </w:r>
      <w:r>
        <w:rPr>
          <w:rFonts w:ascii="仿宋_GB2312" w:eastAsia="仿宋_GB2312" w:hAnsi="Times New Roman"/>
          <w:sz w:val="32"/>
          <w:szCs w:val="32"/>
        </w:rPr>
        <w:t>，制发刑事检察建议</w:t>
      </w:r>
      <w:r>
        <w:rPr>
          <w:rFonts w:ascii="Times New Roman" w:hAnsi="Times New Roman"/>
          <w:sz w:val="32"/>
          <w:szCs w:val="32"/>
        </w:rPr>
        <w:t>1</w:t>
      </w:r>
      <w:r>
        <w:rPr>
          <w:rFonts w:ascii="Times New Roman" w:hAnsi="Times New Roman" w:hint="eastAsia"/>
          <w:sz w:val="32"/>
          <w:szCs w:val="32"/>
        </w:rPr>
        <w:t>7</w:t>
      </w:r>
      <w:r>
        <w:rPr>
          <w:rFonts w:ascii="仿宋_GB2312" w:eastAsia="仿宋_GB2312" w:hAnsi="Times New Roman" w:hint="eastAsia"/>
          <w:sz w:val="32"/>
          <w:szCs w:val="32"/>
        </w:rPr>
        <w:t>份</w:t>
      </w:r>
      <w:r>
        <w:rPr>
          <w:rFonts w:ascii="仿宋_GB2312" w:eastAsia="仿宋_GB2312" w:hAnsi="Times New Roman"/>
          <w:sz w:val="32"/>
          <w:szCs w:val="32"/>
        </w:rPr>
        <w:t>，提出刑事抗诉</w:t>
      </w:r>
      <w:r>
        <w:rPr>
          <w:rFonts w:ascii="Times New Roman" w:hAnsi="Times New Roman"/>
          <w:sz w:val="32"/>
          <w:szCs w:val="32"/>
        </w:rPr>
        <w:t>11</w:t>
      </w:r>
      <w:r>
        <w:rPr>
          <w:rFonts w:ascii="仿宋_GB2312" w:eastAsia="仿宋_GB2312" w:hAnsi="Times New Roman"/>
          <w:sz w:val="32"/>
          <w:szCs w:val="32"/>
        </w:rPr>
        <w:t>件，开展重大案件侦查终结前讯问合法性核查</w:t>
      </w:r>
      <w:r>
        <w:rPr>
          <w:rFonts w:ascii="Times New Roman" w:hAnsi="Times New Roman"/>
          <w:sz w:val="32"/>
          <w:szCs w:val="32"/>
        </w:rPr>
        <w:t>7</w:t>
      </w:r>
      <w:r>
        <w:rPr>
          <w:rFonts w:ascii="仿宋_GB2312" w:eastAsia="仿宋_GB2312" w:hAnsi="Times New Roman"/>
          <w:sz w:val="32"/>
          <w:szCs w:val="32"/>
        </w:rPr>
        <w:t>次。</w:t>
      </w:r>
    </w:p>
    <w:p w:rsidR="00930F10" w:rsidRDefault="00930F10" w:rsidP="00930F10">
      <w:pPr>
        <w:pBdr>
          <w:bottom w:val="single" w:sz="4" w:space="18" w:color="FFFFFF"/>
        </w:pBdr>
        <w:shd w:val="clear" w:color="auto" w:fill="FFFFFF"/>
        <w:tabs>
          <w:tab w:val="left" w:pos="7380"/>
        </w:tabs>
        <w:snapToGrid w:val="0"/>
        <w:spacing w:line="560" w:lineRule="exact"/>
        <w:ind w:firstLineChars="200" w:firstLine="640"/>
        <w:textAlignment w:val="baseline"/>
        <w:rPr>
          <w:rFonts w:ascii="Times New Roman" w:eastAsia="仿宋_GB2312" w:hAnsi="Times New Roman"/>
          <w:color w:val="000000" w:themeColor="text1"/>
          <w:sz w:val="32"/>
          <w:szCs w:val="32"/>
        </w:rPr>
      </w:pPr>
      <w:r>
        <w:rPr>
          <w:rFonts w:ascii="Times New Roman" w:eastAsia="楷体_GB2312" w:hAnsi="楷体_GB2312"/>
          <w:b/>
          <w:bCs/>
          <w:sz w:val="32"/>
          <w:szCs w:val="32"/>
        </w:rPr>
        <w:t>民事检察更为精准。</w:t>
      </w:r>
      <w:r>
        <w:rPr>
          <w:rFonts w:ascii="Times New Roman" w:eastAsia="仿宋_GB2312" w:hAnsi="Times New Roman"/>
          <w:color w:val="000000" w:themeColor="text1"/>
          <w:sz w:val="32"/>
          <w:szCs w:val="32"/>
        </w:rPr>
        <w:t>办理民事生效裁判结果监督案件</w:t>
      </w:r>
      <w:r>
        <w:rPr>
          <w:rFonts w:ascii="Times New Roman" w:eastAsia="仿宋_GB2312" w:hAnsi="Times New Roman"/>
          <w:color w:val="000000" w:themeColor="text1"/>
          <w:sz w:val="32"/>
          <w:szCs w:val="32"/>
        </w:rPr>
        <w:t>28</w:t>
      </w:r>
      <w:r>
        <w:rPr>
          <w:rFonts w:ascii="Times New Roman" w:eastAsia="仿宋_GB2312" w:hAnsi="Times New Roman"/>
          <w:color w:val="000000" w:themeColor="text1"/>
          <w:sz w:val="32"/>
          <w:szCs w:val="32"/>
        </w:rPr>
        <w:t>件，依法提请抗诉</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件，发出再审检察建议</w:t>
      </w:r>
      <w:r>
        <w:rPr>
          <w:rFonts w:ascii="Times New Roman" w:eastAsia="仿宋_GB2312" w:hAnsi="Times New Roman"/>
          <w:color w:val="000000" w:themeColor="text1"/>
          <w:sz w:val="32"/>
          <w:szCs w:val="32"/>
        </w:rPr>
        <w:t>19</w:t>
      </w:r>
      <w:r>
        <w:rPr>
          <w:rFonts w:ascii="Times New Roman" w:eastAsia="仿宋_GB2312" w:hAnsi="Times New Roman"/>
          <w:color w:val="000000" w:themeColor="text1"/>
          <w:sz w:val="32"/>
          <w:szCs w:val="32"/>
        </w:rPr>
        <w:t>份，再审后改判</w:t>
      </w: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件，裁定终结再审程序</w:t>
      </w: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件，切实维护当事人合法权益</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不支持监督申请</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件，坚持</w:t>
      </w:r>
      <w:r>
        <w:rPr>
          <w:rFonts w:ascii="仿宋_GB2312" w:eastAsia="仿宋_GB2312" w:hAnsi="仿宋_GB2312" w:cs="仿宋_GB2312" w:hint="eastAsia"/>
          <w:color w:val="000000" w:themeColor="text1"/>
          <w:sz w:val="32"/>
          <w:szCs w:val="32"/>
        </w:rPr>
        <w:t>“</w:t>
      </w:r>
      <w:r>
        <w:rPr>
          <w:rFonts w:ascii="Times New Roman" w:eastAsia="仿宋_GB2312" w:hAnsi="Times New Roman"/>
          <w:color w:val="000000" w:themeColor="text1"/>
          <w:sz w:val="32"/>
          <w:szCs w:val="32"/>
        </w:rPr>
        <w:t>面对面</w:t>
      </w:r>
      <w:r>
        <w:rPr>
          <w:rFonts w:ascii="仿宋_GB2312" w:eastAsia="仿宋_GB2312" w:hAnsi="仿宋_GB2312" w:cs="仿宋_GB2312" w:hint="eastAsia"/>
          <w:color w:val="000000" w:themeColor="text1"/>
          <w:sz w:val="32"/>
          <w:szCs w:val="32"/>
        </w:rPr>
        <w:t>”</w:t>
      </w:r>
      <w:r>
        <w:rPr>
          <w:rFonts w:ascii="Times New Roman" w:eastAsia="仿宋_GB2312" w:hAnsi="Times New Roman"/>
          <w:color w:val="000000" w:themeColor="text1"/>
          <w:sz w:val="32"/>
          <w:szCs w:val="32"/>
        </w:rPr>
        <w:t>释疑解惑</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办理民事执行监督案件</w:t>
      </w:r>
      <w:r>
        <w:rPr>
          <w:rFonts w:ascii="Times New Roman" w:eastAsia="仿宋_GB2312" w:hAnsi="Times New Roman"/>
          <w:color w:val="000000" w:themeColor="text1"/>
          <w:sz w:val="32"/>
          <w:szCs w:val="32"/>
        </w:rPr>
        <w:t>141</w:t>
      </w:r>
      <w:r>
        <w:rPr>
          <w:rFonts w:ascii="Times New Roman" w:eastAsia="仿宋_GB2312" w:hAnsi="Times New Roman"/>
          <w:color w:val="000000" w:themeColor="text1"/>
          <w:sz w:val="32"/>
          <w:szCs w:val="32"/>
        </w:rPr>
        <w:t>件，制发检察建议</w:t>
      </w:r>
      <w:r>
        <w:rPr>
          <w:rFonts w:ascii="Times New Roman" w:eastAsia="仿宋_GB2312" w:hAnsi="Times New Roman"/>
          <w:color w:val="000000" w:themeColor="text1"/>
          <w:sz w:val="32"/>
          <w:szCs w:val="32"/>
        </w:rPr>
        <w:t>129</w:t>
      </w:r>
      <w:r>
        <w:rPr>
          <w:rFonts w:ascii="Times New Roman" w:eastAsia="仿宋_GB2312" w:hAnsi="Times New Roman"/>
          <w:color w:val="000000" w:themeColor="text1"/>
          <w:sz w:val="32"/>
          <w:szCs w:val="32"/>
        </w:rPr>
        <w:t>份</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净化司法环境，办理虚假诉讼监督案件</w:t>
      </w:r>
      <w:r>
        <w:rPr>
          <w:rFonts w:ascii="Times New Roman" w:eastAsia="仿宋_GB2312" w:hAnsi="Times New Roman"/>
          <w:color w:val="000000" w:themeColor="text1"/>
          <w:sz w:val="32"/>
          <w:szCs w:val="32"/>
        </w:rPr>
        <w:t>16</w:t>
      </w:r>
      <w:r>
        <w:rPr>
          <w:rFonts w:ascii="Times New Roman" w:eastAsia="仿宋_GB2312" w:hAnsi="Times New Roman"/>
          <w:color w:val="000000" w:themeColor="text1"/>
          <w:sz w:val="32"/>
          <w:szCs w:val="32"/>
        </w:rPr>
        <w:t>件，涉案金额</w:t>
      </w:r>
      <w:r>
        <w:rPr>
          <w:rFonts w:ascii="Times New Roman" w:eastAsia="仿宋_GB2312" w:hAnsi="Times New Roman"/>
          <w:color w:val="000000" w:themeColor="text1"/>
          <w:sz w:val="32"/>
          <w:szCs w:val="32"/>
        </w:rPr>
        <w:t>3000</w:t>
      </w:r>
      <w:r>
        <w:rPr>
          <w:rFonts w:ascii="Times New Roman" w:eastAsia="仿宋_GB2312" w:hAnsi="Times New Roman"/>
          <w:color w:val="000000" w:themeColor="text1"/>
          <w:sz w:val="32"/>
          <w:szCs w:val="32"/>
        </w:rPr>
        <w:t>余万元。</w:t>
      </w:r>
    </w:p>
    <w:p w:rsidR="00930F10" w:rsidRDefault="00930F10" w:rsidP="00930F10">
      <w:pPr>
        <w:pBdr>
          <w:bottom w:val="single" w:sz="4" w:space="18" w:color="FFFFFF"/>
        </w:pBdr>
        <w:shd w:val="clear" w:color="auto" w:fill="FFFFFF" w:themeFill="background1"/>
        <w:tabs>
          <w:tab w:val="left" w:pos="7380"/>
        </w:tabs>
        <w:snapToGrid w:val="0"/>
        <w:spacing w:line="560" w:lineRule="exact"/>
        <w:ind w:firstLineChars="200" w:firstLine="640"/>
        <w:textAlignment w:val="baseline"/>
        <w:rPr>
          <w:rFonts w:ascii="Times New Roman" w:eastAsia="仿宋_GB2312" w:hAnsi="Times New Roman"/>
          <w:color w:val="000000" w:themeColor="text1"/>
          <w:sz w:val="32"/>
          <w:szCs w:val="32"/>
        </w:rPr>
      </w:pPr>
      <w:r>
        <w:rPr>
          <w:rFonts w:ascii="Times New Roman" w:eastAsia="楷体_GB2312" w:hAnsi="楷体_GB2312"/>
          <w:b/>
          <w:bCs/>
          <w:sz w:val="32"/>
          <w:szCs w:val="32"/>
        </w:rPr>
        <w:t>行政检察持续做实。</w:t>
      </w:r>
      <w:r>
        <w:rPr>
          <w:rFonts w:ascii="Times New Roman" w:eastAsia="仿宋_GB2312" w:hAnsi="Times New Roman"/>
          <w:color w:val="000000" w:themeColor="text1"/>
          <w:sz w:val="32"/>
          <w:szCs w:val="32"/>
        </w:rPr>
        <w:t>发挥行政检察</w:t>
      </w:r>
      <w:r>
        <w:rPr>
          <w:rFonts w:ascii="仿宋_GB2312" w:eastAsia="仿宋_GB2312" w:hAnsi="仿宋_GB2312" w:cs="仿宋_GB2312" w:hint="eastAsia"/>
          <w:color w:val="000000" w:themeColor="text1"/>
          <w:sz w:val="32"/>
          <w:szCs w:val="32"/>
        </w:rPr>
        <w:t>“</w:t>
      </w:r>
      <w:r>
        <w:rPr>
          <w:rFonts w:ascii="Times New Roman" w:eastAsia="仿宋_GB2312" w:hAnsi="Times New Roman"/>
          <w:color w:val="000000" w:themeColor="text1"/>
          <w:sz w:val="32"/>
          <w:szCs w:val="32"/>
        </w:rPr>
        <w:t>一手托两家</w:t>
      </w:r>
      <w:r>
        <w:rPr>
          <w:rFonts w:ascii="仿宋_GB2312" w:eastAsia="仿宋_GB2312" w:hAnsi="仿宋_GB2312" w:cs="仿宋_GB2312" w:hint="eastAsia"/>
          <w:color w:val="000000" w:themeColor="text1"/>
          <w:sz w:val="32"/>
          <w:szCs w:val="32"/>
        </w:rPr>
        <w:t>”</w:t>
      </w:r>
      <w:r>
        <w:rPr>
          <w:rFonts w:ascii="Times New Roman" w:eastAsia="仿宋_GB2312" w:hAnsi="Times New Roman"/>
          <w:color w:val="000000" w:themeColor="text1"/>
          <w:sz w:val="32"/>
          <w:szCs w:val="32"/>
        </w:rPr>
        <w:t>作用，开展</w:t>
      </w:r>
      <w:r>
        <w:rPr>
          <w:rFonts w:ascii="仿宋_GB2312" w:eastAsia="仿宋_GB2312" w:hAnsi="仿宋_GB2312" w:cs="仿宋_GB2312" w:hint="eastAsia"/>
          <w:color w:val="000000" w:themeColor="text1"/>
          <w:sz w:val="32"/>
          <w:szCs w:val="32"/>
        </w:rPr>
        <w:t>“</w:t>
      </w:r>
      <w:r>
        <w:rPr>
          <w:rFonts w:ascii="Times New Roman" w:eastAsia="仿宋_GB2312" w:hAnsi="Times New Roman"/>
          <w:color w:val="000000" w:themeColor="text1"/>
          <w:sz w:val="32"/>
          <w:szCs w:val="32"/>
        </w:rPr>
        <w:t>加强行政检察监督，促进行政争议实质性化解</w:t>
      </w:r>
      <w:r>
        <w:rPr>
          <w:rFonts w:ascii="仿宋_GB2312" w:eastAsia="仿宋_GB2312" w:hAnsi="仿宋_GB2312" w:cs="仿宋_GB2312" w:hint="eastAsia"/>
          <w:color w:val="000000" w:themeColor="text1"/>
          <w:sz w:val="32"/>
          <w:szCs w:val="32"/>
        </w:rPr>
        <w:t>”</w:t>
      </w:r>
      <w:r>
        <w:rPr>
          <w:rFonts w:ascii="Times New Roman" w:eastAsia="仿宋_GB2312" w:hAnsi="Times New Roman"/>
          <w:color w:val="000000" w:themeColor="text1"/>
          <w:sz w:val="32"/>
          <w:szCs w:val="32"/>
        </w:rPr>
        <w:t>、行政执法监督、行政非诉执行专项监督等行动，针对行政执法不规范等情形，向相</w:t>
      </w:r>
      <w:r>
        <w:rPr>
          <w:rFonts w:ascii="Times New Roman" w:eastAsia="仿宋_GB2312" w:hAnsi="Times New Roman"/>
          <w:color w:val="000000" w:themeColor="text1"/>
          <w:sz w:val="32"/>
          <w:szCs w:val="32"/>
        </w:rPr>
        <w:lastRenderedPageBreak/>
        <w:t>关行政机关制发检察建议</w:t>
      </w:r>
      <w:r>
        <w:rPr>
          <w:rFonts w:ascii="Times New Roman" w:eastAsia="仿宋_GB2312" w:hAnsi="Times New Roman"/>
          <w:color w:val="000000" w:themeColor="text1"/>
          <w:sz w:val="32"/>
          <w:szCs w:val="32"/>
        </w:rPr>
        <w:t>123</w:t>
      </w:r>
      <w:r>
        <w:rPr>
          <w:rFonts w:ascii="Times New Roman" w:eastAsia="仿宋_GB2312" w:hAnsi="Times New Roman" w:hint="eastAsia"/>
          <w:color w:val="000000" w:themeColor="text1"/>
          <w:sz w:val="32"/>
          <w:szCs w:val="32"/>
        </w:rPr>
        <w:t>份</w:t>
      </w:r>
      <w:r>
        <w:rPr>
          <w:rFonts w:ascii="Times New Roman" w:eastAsia="仿宋_GB2312" w:hAnsi="Times New Roman"/>
          <w:color w:val="000000" w:themeColor="text1"/>
          <w:sz w:val="32"/>
          <w:szCs w:val="32"/>
        </w:rPr>
        <w:t>，采纳回复率</w:t>
      </w:r>
      <w:r>
        <w:rPr>
          <w:rFonts w:ascii="Times New Roman" w:eastAsia="仿宋_GB2312" w:hAnsi="Times New Roman"/>
          <w:color w:val="000000" w:themeColor="text1"/>
          <w:sz w:val="32"/>
          <w:szCs w:val="32"/>
        </w:rPr>
        <w:t>100%</w:t>
      </w:r>
      <w:r>
        <w:rPr>
          <w:rFonts w:ascii="Times New Roman" w:eastAsia="仿宋_GB2312" w:hAnsi="Times New Roman"/>
          <w:color w:val="000000" w:themeColor="text1"/>
          <w:sz w:val="32"/>
          <w:szCs w:val="32"/>
        </w:rPr>
        <w:t>，有力促进公正司法，推动依法行政。就规范二手车交易市场、助力生态文明建设等方面向相关职能部门制发检察建议</w:t>
      </w:r>
      <w:r>
        <w:rPr>
          <w:rFonts w:ascii="Times New Roman" w:eastAsia="仿宋_GB2312" w:hAnsi="Times New Roman" w:hint="eastAsia"/>
          <w:color w:val="000000" w:themeColor="text1"/>
          <w:sz w:val="32"/>
          <w:szCs w:val="32"/>
        </w:rPr>
        <w:t>71</w:t>
      </w:r>
      <w:r>
        <w:rPr>
          <w:rFonts w:ascii="Times New Roman" w:eastAsia="仿宋_GB2312" w:hAnsi="Times New Roman" w:hint="eastAsia"/>
          <w:color w:val="000000" w:themeColor="text1"/>
          <w:sz w:val="32"/>
          <w:szCs w:val="32"/>
        </w:rPr>
        <w:t>份</w:t>
      </w:r>
      <w:r>
        <w:rPr>
          <w:rFonts w:ascii="Times New Roman" w:eastAsia="仿宋_GB2312" w:hAnsi="Times New Roman"/>
          <w:color w:val="000000" w:themeColor="text1"/>
          <w:sz w:val="32"/>
          <w:szCs w:val="32"/>
        </w:rPr>
        <w:t>，督促其履职，均</w:t>
      </w:r>
      <w:r>
        <w:rPr>
          <w:rFonts w:ascii="Times New Roman" w:eastAsia="仿宋_GB2312" w:hAnsi="Times New Roman" w:hint="eastAsia"/>
          <w:color w:val="000000" w:themeColor="text1"/>
          <w:sz w:val="32"/>
          <w:szCs w:val="32"/>
        </w:rPr>
        <w:t>被</w:t>
      </w:r>
      <w:r>
        <w:rPr>
          <w:rFonts w:ascii="Times New Roman" w:eastAsia="仿宋_GB2312" w:hAnsi="Times New Roman"/>
          <w:color w:val="000000" w:themeColor="text1"/>
          <w:sz w:val="32"/>
          <w:szCs w:val="32"/>
        </w:rPr>
        <w:t>采纳。</w:t>
      </w:r>
    </w:p>
    <w:p w:rsidR="00930F10" w:rsidRDefault="00930F10" w:rsidP="00930F10">
      <w:pPr>
        <w:pBdr>
          <w:bottom w:val="single" w:sz="4" w:space="18" w:color="FFFFFF"/>
        </w:pBdr>
        <w:shd w:val="clear" w:color="auto" w:fill="FFFFFF"/>
        <w:tabs>
          <w:tab w:val="left" w:pos="7380"/>
        </w:tabs>
        <w:autoSpaceDE w:val="0"/>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楷体_GB2312" w:hAnsi="楷体_GB2312"/>
          <w:b/>
          <w:bCs/>
          <w:sz w:val="32"/>
          <w:szCs w:val="32"/>
        </w:rPr>
        <w:t>公益</w:t>
      </w:r>
      <w:r>
        <w:rPr>
          <w:rFonts w:ascii="Times New Roman" w:eastAsia="楷体_GB2312" w:hAnsi="楷体_GB2312" w:hint="eastAsia"/>
          <w:b/>
          <w:bCs/>
          <w:sz w:val="32"/>
          <w:szCs w:val="32"/>
        </w:rPr>
        <w:t>诉讼</w:t>
      </w:r>
      <w:r>
        <w:rPr>
          <w:rFonts w:ascii="Times New Roman" w:eastAsia="楷体_GB2312" w:hAnsi="楷体_GB2312"/>
          <w:b/>
          <w:bCs/>
          <w:sz w:val="32"/>
          <w:szCs w:val="32"/>
        </w:rPr>
        <w:t>检察扎实推进。</w:t>
      </w:r>
      <w:r>
        <w:rPr>
          <w:rFonts w:ascii="Times New Roman" w:eastAsia="仿宋_GB2312" w:hAnsi="Times New Roman"/>
          <w:color w:val="000000" w:themeColor="text1"/>
          <w:sz w:val="32"/>
          <w:szCs w:val="32"/>
        </w:rPr>
        <w:t>立案行政公益诉讼案件</w:t>
      </w:r>
      <w:r>
        <w:rPr>
          <w:rFonts w:ascii="Times New Roman" w:eastAsia="仿宋_GB2312" w:hAnsi="Times New Roman"/>
          <w:color w:val="000000" w:themeColor="text1"/>
          <w:sz w:val="32"/>
          <w:szCs w:val="32"/>
        </w:rPr>
        <w:t>83</w:t>
      </w:r>
      <w:r>
        <w:rPr>
          <w:rFonts w:ascii="Times New Roman" w:eastAsia="仿宋_GB2312" w:hAnsi="Times New Roman"/>
          <w:color w:val="000000" w:themeColor="text1"/>
          <w:sz w:val="32"/>
          <w:szCs w:val="32"/>
        </w:rPr>
        <w:t>件，发出诉前检察建议</w:t>
      </w:r>
      <w:r>
        <w:rPr>
          <w:rFonts w:ascii="Times New Roman" w:eastAsia="仿宋_GB2312" w:hAnsi="Times New Roman"/>
          <w:color w:val="000000" w:themeColor="text1"/>
          <w:sz w:val="32"/>
          <w:szCs w:val="32"/>
        </w:rPr>
        <w:t>80</w:t>
      </w:r>
      <w:r>
        <w:rPr>
          <w:rFonts w:ascii="Times New Roman" w:eastAsia="仿宋_GB2312" w:hAnsi="Times New Roman"/>
          <w:color w:val="000000" w:themeColor="text1"/>
          <w:sz w:val="32"/>
          <w:szCs w:val="32"/>
        </w:rPr>
        <w:t>件</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立案刑事附带民事公益诉讼案件</w:t>
      </w: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件</w:t>
      </w:r>
      <w:r>
        <w:rPr>
          <w:rFonts w:ascii="Times New Roman" w:eastAsia="仿宋_GB2312" w:hAnsi="Times New Roman" w:hint="eastAsia"/>
          <w:color w:val="000000" w:themeColor="text1"/>
          <w:sz w:val="32"/>
          <w:szCs w:val="32"/>
        </w:rPr>
        <w:t>，发出诉前公告</w:t>
      </w:r>
      <w:r>
        <w:rPr>
          <w:rFonts w:ascii="Times New Roman" w:eastAsia="仿宋_GB2312" w:hAnsi="Times New Roman" w:hint="eastAsia"/>
          <w:color w:val="000000" w:themeColor="text1"/>
          <w:sz w:val="32"/>
          <w:szCs w:val="32"/>
        </w:rPr>
        <w:t>12</w:t>
      </w:r>
      <w:r>
        <w:rPr>
          <w:rFonts w:ascii="Times New Roman" w:eastAsia="仿宋_GB2312" w:hAnsi="Times New Roman" w:hint="eastAsia"/>
          <w:color w:val="000000" w:themeColor="text1"/>
          <w:sz w:val="32"/>
          <w:szCs w:val="32"/>
        </w:rPr>
        <w:t>份。</w:t>
      </w:r>
      <w:r>
        <w:rPr>
          <w:rFonts w:ascii="Times New Roman" w:eastAsia="仿宋_GB2312" w:hAnsi="Times New Roman"/>
          <w:color w:val="000000" w:themeColor="text1"/>
          <w:sz w:val="32"/>
          <w:szCs w:val="32"/>
        </w:rPr>
        <w:t>提起刑事附带民事公益诉讼、行政公益诉讼</w:t>
      </w: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件。涉及生态环境和资源保护、食品药品安全、国有财产保护等</w:t>
      </w: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大领域。通过办案督促恢复耕地林地草原等</w:t>
      </w:r>
      <w:r>
        <w:rPr>
          <w:rFonts w:ascii="Times New Roman" w:eastAsia="仿宋_GB2312" w:hAnsi="Times New Roman"/>
          <w:color w:val="000000" w:themeColor="text1"/>
          <w:sz w:val="32"/>
          <w:szCs w:val="32"/>
        </w:rPr>
        <w:t>2000</w:t>
      </w:r>
      <w:r>
        <w:rPr>
          <w:rFonts w:ascii="Times New Roman" w:eastAsia="仿宋_GB2312" w:hAnsi="Times New Roman"/>
          <w:color w:val="000000" w:themeColor="text1"/>
          <w:sz w:val="32"/>
          <w:szCs w:val="32"/>
        </w:rPr>
        <w:t>余亩，协同推进绿化矿山</w:t>
      </w:r>
      <w:r>
        <w:rPr>
          <w:rFonts w:ascii="Times New Roman" w:eastAsia="仿宋_GB2312" w:hAnsi="Times New Roman" w:hint="eastAsia"/>
          <w:color w:val="000000" w:themeColor="text1"/>
          <w:sz w:val="32"/>
          <w:szCs w:val="32"/>
        </w:rPr>
        <w:t>近</w:t>
      </w:r>
      <w:r>
        <w:rPr>
          <w:rFonts w:ascii="Times New Roman" w:eastAsia="仿宋_GB2312" w:hAnsi="Times New Roman" w:hint="eastAsia"/>
          <w:color w:val="000000" w:themeColor="text1"/>
          <w:sz w:val="32"/>
          <w:szCs w:val="32"/>
        </w:rPr>
        <w:t>4</w:t>
      </w:r>
      <w:r>
        <w:rPr>
          <w:rFonts w:ascii="Times New Roman" w:eastAsia="仿宋_GB2312" w:hAnsi="Times New Roman"/>
          <w:color w:val="000000" w:themeColor="text1"/>
          <w:sz w:val="32"/>
          <w:szCs w:val="32"/>
        </w:rPr>
        <w:t>万亩，监督改造</w:t>
      </w:r>
      <w:r>
        <w:rPr>
          <w:rFonts w:ascii="Times New Roman" w:eastAsia="仿宋_GB2312" w:hAnsi="Times New Roman" w:hint="eastAsia"/>
          <w:color w:val="000000" w:themeColor="text1"/>
          <w:sz w:val="32"/>
          <w:szCs w:val="32"/>
        </w:rPr>
        <w:t>问题</w:t>
      </w:r>
      <w:r>
        <w:rPr>
          <w:rFonts w:ascii="Times New Roman" w:eastAsia="仿宋_GB2312" w:hAnsi="Times New Roman"/>
          <w:color w:val="000000" w:themeColor="text1"/>
          <w:sz w:val="32"/>
          <w:szCs w:val="32"/>
        </w:rPr>
        <w:t>盲道</w:t>
      </w:r>
      <w:r>
        <w:rPr>
          <w:rFonts w:ascii="Times New Roman" w:eastAsia="仿宋_GB2312" w:hAnsi="Times New Roman" w:hint="eastAsia"/>
          <w:color w:val="000000" w:themeColor="text1"/>
          <w:sz w:val="32"/>
          <w:szCs w:val="32"/>
        </w:rPr>
        <w:t>近</w:t>
      </w:r>
      <w:r>
        <w:rPr>
          <w:rFonts w:ascii="Times New Roman" w:eastAsia="仿宋_GB2312" w:hAnsi="Times New Roman" w:hint="eastAsia"/>
          <w:color w:val="000000" w:themeColor="text1"/>
          <w:sz w:val="32"/>
          <w:szCs w:val="32"/>
        </w:rPr>
        <w:t>2000</w:t>
      </w:r>
      <w:r>
        <w:rPr>
          <w:rFonts w:ascii="Times New Roman" w:eastAsia="仿宋_GB2312" w:hAnsi="Times New Roman" w:hint="eastAsia"/>
          <w:color w:val="000000" w:themeColor="text1"/>
          <w:sz w:val="32"/>
          <w:szCs w:val="32"/>
        </w:rPr>
        <w:t>米</w:t>
      </w:r>
      <w:r>
        <w:rPr>
          <w:rFonts w:ascii="Times New Roman" w:eastAsia="仿宋_GB2312" w:hAnsi="Times New Roman"/>
          <w:color w:val="000000" w:themeColor="text1"/>
          <w:sz w:val="32"/>
          <w:szCs w:val="32"/>
        </w:rPr>
        <w:t>、维修窨井</w:t>
      </w:r>
      <w:r>
        <w:rPr>
          <w:rFonts w:ascii="Times New Roman" w:eastAsia="仿宋_GB2312" w:hAnsi="Times New Roman" w:hint="eastAsia"/>
          <w:color w:val="000000" w:themeColor="text1"/>
          <w:sz w:val="32"/>
          <w:szCs w:val="32"/>
        </w:rPr>
        <w:t>近</w:t>
      </w:r>
      <w:r>
        <w:rPr>
          <w:rFonts w:ascii="Times New Roman" w:eastAsia="仿宋_GB2312" w:hAnsi="Times New Roman" w:hint="eastAsia"/>
          <w:color w:val="000000" w:themeColor="text1"/>
          <w:sz w:val="32"/>
          <w:szCs w:val="32"/>
        </w:rPr>
        <w:t>600</w:t>
      </w:r>
      <w:r>
        <w:rPr>
          <w:rFonts w:ascii="Times New Roman" w:eastAsia="仿宋_GB2312" w:hAnsi="Times New Roman"/>
          <w:color w:val="000000" w:themeColor="text1"/>
          <w:sz w:val="32"/>
          <w:szCs w:val="32"/>
        </w:rPr>
        <w:t>口，助推建立环卫绿化取水许可和计量收费</w:t>
      </w: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项制度，督促缴纳生态环境资源损失费</w:t>
      </w: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万余元。</w:t>
      </w: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件案件被</w:t>
      </w:r>
      <w:r>
        <w:rPr>
          <w:rFonts w:ascii="Times New Roman" w:eastAsia="仿宋_GB2312" w:hAnsi="Times New Roman" w:hint="eastAsia"/>
          <w:color w:val="000000" w:themeColor="text1"/>
          <w:sz w:val="32"/>
          <w:szCs w:val="32"/>
        </w:rPr>
        <w:t>上级检察机关</w:t>
      </w:r>
      <w:r>
        <w:rPr>
          <w:rFonts w:ascii="Times New Roman" w:eastAsia="仿宋_GB2312" w:hAnsi="Times New Roman"/>
          <w:color w:val="000000" w:themeColor="text1"/>
          <w:sz w:val="32"/>
          <w:szCs w:val="32"/>
        </w:rPr>
        <w:t>评为典型案件。</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3"/>
        <w:rPr>
          <w:rFonts w:ascii="Times New Roman" w:eastAsia="黑体" w:hAnsi="Times New Roman"/>
          <w:b/>
          <w:color w:val="000000" w:themeColor="text1"/>
          <w:sz w:val="32"/>
          <w:szCs w:val="32"/>
        </w:rPr>
      </w:pPr>
      <w:r>
        <w:rPr>
          <w:rFonts w:ascii="Times New Roman" w:eastAsia="黑体" w:hAnsi="Times New Roman"/>
          <w:b/>
          <w:color w:val="000000" w:themeColor="text1"/>
          <w:sz w:val="32"/>
          <w:szCs w:val="32"/>
        </w:rPr>
        <w:t>三、</w:t>
      </w:r>
      <w:r>
        <w:rPr>
          <w:rFonts w:ascii="Times New Roman" w:eastAsia="黑体" w:hAnsi="Times New Roman"/>
          <w:b/>
          <w:sz w:val="32"/>
          <w:szCs w:val="32"/>
        </w:rPr>
        <w:t>坚持人民至上，优化检察服务</w:t>
      </w:r>
    </w:p>
    <w:p w:rsidR="00930F10" w:rsidRDefault="00930F10" w:rsidP="00930F10">
      <w:pPr>
        <w:pBdr>
          <w:bottom w:val="single" w:sz="4" w:space="18" w:color="FFFFFF"/>
        </w:pBdr>
        <w:shd w:val="clear" w:color="auto" w:fill="FFFFFF" w:themeFill="background1"/>
        <w:tabs>
          <w:tab w:val="left" w:pos="7380"/>
        </w:tabs>
        <w:snapToGrid w:val="0"/>
        <w:spacing w:line="560" w:lineRule="exact"/>
        <w:ind w:firstLineChars="200" w:firstLine="640"/>
        <w:textAlignment w:val="baseline"/>
        <w:rPr>
          <w:rStyle w:val="NormalCharacter"/>
          <w:rFonts w:ascii="Times New Roman" w:eastAsia="仿宋_GB2312" w:hAnsi="Times New Roman"/>
          <w:color w:val="000000" w:themeColor="text1"/>
          <w:sz w:val="32"/>
          <w:szCs w:val="32"/>
        </w:rPr>
      </w:pPr>
      <w:r>
        <w:rPr>
          <w:rFonts w:ascii="Times New Roman" w:eastAsia="楷体_GB2312" w:hAnsi="楷体_GB2312"/>
          <w:b/>
          <w:bCs/>
          <w:sz w:val="32"/>
          <w:szCs w:val="32"/>
        </w:rPr>
        <w:t>积极回应群众司法诉求</w:t>
      </w:r>
      <w:r>
        <w:rPr>
          <w:rStyle w:val="NormalCharacter"/>
          <w:rFonts w:ascii="Times New Roman" w:eastAsia="楷体_GB2312" w:hAnsi="楷体_GB2312"/>
          <w:b/>
          <w:bCs/>
          <w:color w:val="000000" w:themeColor="text1"/>
          <w:sz w:val="32"/>
          <w:szCs w:val="32"/>
        </w:rPr>
        <w:t>。</w:t>
      </w:r>
      <w:r>
        <w:rPr>
          <w:rFonts w:ascii="Times New Roman" w:eastAsia="仿宋_GB2312" w:hAnsi="Times New Roman"/>
          <w:color w:val="000000" w:themeColor="text1"/>
          <w:sz w:val="32"/>
          <w:szCs w:val="32"/>
        </w:rPr>
        <w:t>打造新时代</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枫桥经验</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检察版，落实群众信访件件有回复制度</w:t>
      </w:r>
      <w:r>
        <w:rPr>
          <w:rStyle w:val="NormalCharacte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深化</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领导干部大接访</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活动，</w:t>
      </w:r>
      <w:r>
        <w:rPr>
          <w:rStyle w:val="NormalCharacter"/>
          <w:rFonts w:ascii="Times New Roman" w:eastAsia="仿宋_GB2312" w:hAnsi="Times New Roman"/>
          <w:color w:val="000000" w:themeColor="text1"/>
          <w:sz w:val="32"/>
          <w:szCs w:val="32"/>
        </w:rPr>
        <w:t>把化解</w:t>
      </w:r>
      <w:r>
        <w:rPr>
          <w:rStyle w:val="NormalCharacter"/>
          <w:rFonts w:ascii="Times New Roman" w:eastAsia="仿宋_GB2312" w:hAnsi="Times New Roman"/>
          <w:color w:val="000000" w:themeColor="text1"/>
          <w:kern w:val="0"/>
          <w:sz w:val="32"/>
          <w:szCs w:val="32"/>
        </w:rPr>
        <w:t>矛盾促进和谐贯穿司法办案始终，</w:t>
      </w:r>
      <w:r>
        <w:rPr>
          <w:rFonts w:ascii="Times New Roman" w:eastAsia="仿宋_GB2312" w:hAnsi="Times New Roman"/>
          <w:color w:val="000000" w:themeColor="text1"/>
          <w:sz w:val="32"/>
          <w:szCs w:val="32"/>
        </w:rPr>
        <w:t>受理群众控告、申诉、举报及法律咨询</w:t>
      </w:r>
      <w:r>
        <w:rPr>
          <w:rFonts w:ascii="Times New Roman" w:eastAsia="仿宋_GB2312" w:hAnsi="Times New Roman"/>
          <w:color w:val="000000" w:themeColor="text1"/>
          <w:sz w:val="32"/>
          <w:szCs w:val="32"/>
        </w:rPr>
        <w:t>1258</w:t>
      </w:r>
      <w:r>
        <w:rPr>
          <w:rFonts w:ascii="Times New Roman" w:eastAsia="仿宋_GB2312" w:hAnsi="Times New Roman"/>
          <w:color w:val="000000" w:themeColor="text1"/>
          <w:sz w:val="32"/>
          <w:szCs w:val="32"/>
        </w:rPr>
        <w:t>件，办理通辽市检察院移交信访事项</w:t>
      </w:r>
      <w:r>
        <w:rPr>
          <w:rFonts w:ascii="Times New Roman" w:eastAsia="仿宋_GB2312" w:hAnsi="Times New Roman"/>
          <w:color w:val="000000" w:themeColor="text1"/>
          <w:sz w:val="32"/>
          <w:szCs w:val="32"/>
        </w:rPr>
        <w:t>29</w:t>
      </w:r>
      <w:r>
        <w:rPr>
          <w:rFonts w:ascii="Times New Roman" w:eastAsia="仿宋_GB2312" w:hAnsi="Times New Roman"/>
          <w:color w:val="000000" w:themeColor="text1"/>
          <w:sz w:val="32"/>
          <w:szCs w:val="32"/>
        </w:rPr>
        <w:t>件，</w:t>
      </w: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日内回复率、</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个月内答复率均为</w:t>
      </w:r>
      <w:r>
        <w:rPr>
          <w:rFonts w:ascii="Times New Roman" w:eastAsia="仿宋_GB2312" w:hAnsi="Times New Roman"/>
          <w:color w:val="000000" w:themeColor="text1"/>
          <w:sz w:val="32"/>
          <w:szCs w:val="32"/>
        </w:rPr>
        <w:t>100%</w:t>
      </w:r>
      <w:r>
        <w:rPr>
          <w:rFonts w:ascii="Times New Roman" w:eastAsia="仿宋_GB2312" w:hAnsi="Times New Roman"/>
          <w:color w:val="000000" w:themeColor="text1"/>
          <w:sz w:val="32"/>
          <w:szCs w:val="32"/>
        </w:rPr>
        <w:t>，办结率为</w:t>
      </w:r>
      <w:r>
        <w:rPr>
          <w:rFonts w:ascii="Times New Roman" w:eastAsia="仿宋_GB2312" w:hAnsi="Times New Roman"/>
          <w:color w:val="000000" w:themeColor="text1"/>
          <w:sz w:val="32"/>
          <w:szCs w:val="32"/>
        </w:rPr>
        <w:t>99.7%</w:t>
      </w:r>
      <w:r>
        <w:rPr>
          <w:rFonts w:ascii="Times New Roman" w:eastAsia="仿宋_GB2312" w:hAnsi="Times New Roman"/>
          <w:color w:val="000000" w:themeColor="text1"/>
          <w:sz w:val="32"/>
          <w:szCs w:val="32"/>
        </w:rPr>
        <w:t>。有效解决群众合理诉求，纾缓社会矛盾。</w:t>
      </w:r>
      <w:r>
        <w:rPr>
          <w:rFonts w:ascii="Times New Roman" w:eastAsia="仿宋_GB2312" w:hAnsi="Times New Roman" w:hint="eastAsia"/>
          <w:color w:val="000000" w:themeColor="text1"/>
          <w:sz w:val="32"/>
          <w:szCs w:val="32"/>
        </w:rPr>
        <w:t>对</w:t>
      </w:r>
      <w:r>
        <w:rPr>
          <w:rFonts w:ascii="Times New Roman" w:eastAsia="仿宋_GB2312" w:hAnsi="Times New Roman" w:hint="eastAsia"/>
          <w:color w:val="000000" w:themeColor="text1"/>
          <w:sz w:val="32"/>
          <w:szCs w:val="32"/>
        </w:rPr>
        <w:t>39</w:t>
      </w:r>
      <w:r>
        <w:rPr>
          <w:rFonts w:ascii="Times New Roman" w:eastAsia="仿宋_GB2312" w:hAnsi="Times New Roman" w:hint="eastAsia"/>
          <w:color w:val="000000" w:themeColor="text1"/>
          <w:sz w:val="32"/>
          <w:szCs w:val="32"/>
        </w:rPr>
        <w:t>名刑事案件被害人开展司法救助，发放救助金</w:t>
      </w:r>
      <w:r>
        <w:rPr>
          <w:rFonts w:ascii="Times New Roman" w:eastAsia="仿宋_GB2312" w:hAnsi="Times New Roman" w:hint="eastAsia"/>
          <w:color w:val="000000" w:themeColor="text1"/>
          <w:sz w:val="32"/>
          <w:szCs w:val="32"/>
        </w:rPr>
        <w:t>120</w:t>
      </w:r>
      <w:r>
        <w:rPr>
          <w:rFonts w:ascii="Times New Roman" w:eastAsia="仿宋_GB2312" w:hAnsi="Times New Roman" w:hint="eastAsia"/>
          <w:color w:val="000000" w:themeColor="text1"/>
          <w:sz w:val="32"/>
          <w:szCs w:val="32"/>
        </w:rPr>
        <w:t>余万元。</w:t>
      </w:r>
    </w:p>
    <w:p w:rsidR="00930F10" w:rsidRDefault="00930F10" w:rsidP="00930F10">
      <w:pPr>
        <w:pBdr>
          <w:bottom w:val="single" w:sz="4" w:space="18" w:color="FFFFFF"/>
        </w:pBdr>
        <w:shd w:val="clear" w:color="auto" w:fill="FFFFFF" w:themeFill="background1"/>
        <w:tabs>
          <w:tab w:val="left" w:pos="7380"/>
        </w:tabs>
        <w:snapToGrid w:val="0"/>
        <w:spacing w:line="560" w:lineRule="exact"/>
        <w:ind w:firstLineChars="200" w:firstLine="640"/>
        <w:textAlignment w:val="baseline"/>
        <w:rPr>
          <w:rStyle w:val="NormalCharacter"/>
          <w:rFonts w:ascii="Times New Roman" w:eastAsia="仿宋_GB2312" w:hAnsi="Times New Roman"/>
          <w:color w:val="000000" w:themeColor="text1"/>
          <w:sz w:val="32"/>
          <w:szCs w:val="32"/>
        </w:rPr>
      </w:pPr>
      <w:r>
        <w:rPr>
          <w:rFonts w:ascii="Times New Roman" w:eastAsia="楷体_GB2312" w:hAnsi="楷体_GB2312"/>
          <w:b/>
          <w:color w:val="000000" w:themeColor="text1"/>
          <w:sz w:val="32"/>
          <w:szCs w:val="32"/>
        </w:rPr>
        <w:t>强化未成年人司法保护。</w:t>
      </w:r>
      <w:r>
        <w:rPr>
          <w:rStyle w:val="NormalCharacter"/>
          <w:rFonts w:ascii="Times New Roman" w:eastAsia="仿宋_GB2312" w:hAnsi="Times New Roman"/>
          <w:color w:val="000000" w:themeColor="text1"/>
          <w:sz w:val="32"/>
          <w:szCs w:val="32"/>
        </w:rPr>
        <w:t>全面落实最高检</w:t>
      </w:r>
      <w:r>
        <w:rPr>
          <w:rStyle w:val="NormalCharacter"/>
          <w:rFonts w:ascii="仿宋_GB2312" w:eastAsia="仿宋_GB2312" w:hAnsi="仿宋_GB2312" w:cs="仿宋_GB2312" w:hint="eastAsia"/>
          <w:color w:val="000000" w:themeColor="text1"/>
          <w:sz w:val="32"/>
          <w:szCs w:val="32"/>
        </w:rPr>
        <w:t>“</w:t>
      </w:r>
      <w:r>
        <w:rPr>
          <w:rStyle w:val="NormalCharacter"/>
          <w:rFonts w:ascii="Times New Roman" w:eastAsia="仿宋_GB2312" w:hAnsi="Times New Roman"/>
          <w:color w:val="000000" w:themeColor="text1"/>
          <w:sz w:val="32"/>
          <w:szCs w:val="32"/>
        </w:rPr>
        <w:t>一号检察建议</w:t>
      </w:r>
      <w:r>
        <w:rPr>
          <w:rStyle w:val="NormalCharacter"/>
          <w:rFonts w:ascii="仿宋_GB2312" w:eastAsia="仿宋_GB2312" w:hAnsi="仿宋_GB2312" w:cs="仿宋_GB2312" w:hint="eastAsia"/>
          <w:color w:val="000000" w:themeColor="text1"/>
          <w:sz w:val="32"/>
          <w:szCs w:val="32"/>
        </w:rPr>
        <w:t>”</w:t>
      </w:r>
      <w:r>
        <w:rPr>
          <w:rStyle w:val="NormalCharacte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加强</w:t>
      </w:r>
      <w:r>
        <w:rPr>
          <w:rFonts w:ascii="仿宋_GB2312" w:eastAsia="仿宋_GB2312" w:hAnsi="仿宋_GB2312" w:cs="仿宋_GB2312" w:hint="eastAsia"/>
          <w:color w:val="000000" w:themeColor="text1"/>
          <w:sz w:val="32"/>
          <w:szCs w:val="32"/>
        </w:rPr>
        <w:t>“</w:t>
      </w:r>
      <w:r>
        <w:rPr>
          <w:rFonts w:ascii="Times New Roman" w:eastAsia="仿宋_GB2312" w:hAnsi="Times New Roman"/>
          <w:color w:val="000000" w:themeColor="text1"/>
          <w:sz w:val="32"/>
          <w:szCs w:val="32"/>
        </w:rPr>
        <w:t>朵兰</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未检</w:t>
      </w:r>
      <w:r>
        <w:rPr>
          <w:rFonts w:ascii="仿宋_GB2312" w:eastAsia="仿宋_GB2312" w:hAnsi="仿宋_GB2312" w:cs="仿宋_GB2312" w:hint="eastAsia"/>
          <w:color w:val="000000" w:themeColor="text1"/>
          <w:sz w:val="32"/>
          <w:szCs w:val="32"/>
        </w:rPr>
        <w:t>”</w:t>
      </w:r>
      <w:r>
        <w:rPr>
          <w:rFonts w:ascii="Times New Roman" w:eastAsia="仿宋_GB2312" w:hAnsi="Times New Roman"/>
          <w:color w:val="000000" w:themeColor="text1"/>
          <w:sz w:val="32"/>
          <w:szCs w:val="32"/>
        </w:rPr>
        <w:t>与</w:t>
      </w:r>
      <w:r>
        <w:rPr>
          <w:rFonts w:ascii="仿宋_GB2312" w:eastAsia="仿宋_GB2312" w:hAnsi="仿宋_GB2312" w:cs="仿宋_GB2312" w:hint="eastAsia"/>
          <w:color w:val="000000" w:themeColor="text1"/>
          <w:sz w:val="32"/>
          <w:szCs w:val="32"/>
        </w:rPr>
        <w:t>“</w:t>
      </w:r>
      <w:r>
        <w:rPr>
          <w:rFonts w:ascii="Times New Roman" w:eastAsia="仿宋_GB2312" w:hAnsi="Times New Roman"/>
          <w:color w:val="000000" w:themeColor="text1"/>
          <w:sz w:val="32"/>
          <w:szCs w:val="32"/>
        </w:rPr>
        <w:t>复苗工程</w:t>
      </w:r>
      <w:r>
        <w:rPr>
          <w:rFonts w:ascii="仿宋_GB2312" w:eastAsia="仿宋_GB2312" w:hAnsi="仿宋_GB2312" w:cs="仿宋_GB2312" w:hint="eastAsia"/>
          <w:color w:val="000000" w:themeColor="text1"/>
          <w:sz w:val="32"/>
          <w:szCs w:val="32"/>
        </w:rPr>
        <w:t>”</w:t>
      </w:r>
      <w:r>
        <w:rPr>
          <w:rFonts w:ascii="Times New Roman" w:eastAsia="仿宋_GB2312" w:hAnsi="Times New Roman"/>
          <w:color w:val="000000" w:themeColor="text1"/>
          <w:sz w:val="32"/>
          <w:szCs w:val="32"/>
        </w:rPr>
        <w:t>相融相承，</w:t>
      </w:r>
      <w:r>
        <w:rPr>
          <w:rFonts w:ascii="Times New Roman" w:eastAsia="仿宋_GB2312" w:hAnsi="Times New Roman"/>
          <w:bCs/>
          <w:color w:val="000000" w:themeColor="text1"/>
          <w:sz w:val="32"/>
          <w:szCs w:val="32"/>
        </w:rPr>
        <w:t>受理未成年人刑事案件</w:t>
      </w:r>
      <w:r>
        <w:rPr>
          <w:rStyle w:val="NormalCharacter"/>
          <w:rFonts w:ascii="Times New Roman" w:eastAsia="仿宋_GB2312" w:hAnsi="Times New Roman"/>
          <w:color w:val="000000" w:themeColor="text1"/>
          <w:sz w:val="32"/>
          <w:szCs w:val="32"/>
        </w:rPr>
        <w:t>25</w:t>
      </w:r>
      <w:r>
        <w:rPr>
          <w:rStyle w:val="NormalCharacter"/>
          <w:rFonts w:ascii="Times New Roman" w:eastAsia="仿宋_GB2312" w:hAnsi="Times New Roman"/>
          <w:color w:val="000000" w:themeColor="text1"/>
          <w:sz w:val="32"/>
          <w:szCs w:val="32"/>
        </w:rPr>
        <w:t>件</w:t>
      </w:r>
      <w:r>
        <w:rPr>
          <w:rStyle w:val="NormalCharacter"/>
          <w:rFonts w:ascii="Times New Roman" w:eastAsia="仿宋_GB2312" w:hAnsi="Times New Roman"/>
          <w:color w:val="000000" w:themeColor="text1"/>
          <w:sz w:val="32"/>
          <w:szCs w:val="32"/>
        </w:rPr>
        <w:t>38</w:t>
      </w:r>
      <w:r>
        <w:rPr>
          <w:rStyle w:val="NormalCharacter"/>
          <w:rFonts w:ascii="Times New Roman" w:eastAsia="仿宋_GB2312" w:hAnsi="Times New Roman"/>
          <w:color w:val="000000" w:themeColor="text1"/>
          <w:sz w:val="32"/>
          <w:szCs w:val="32"/>
        </w:rPr>
        <w:t>人，</w:t>
      </w:r>
      <w:r>
        <w:rPr>
          <w:rFonts w:ascii="Times New Roman" w:eastAsia="仿宋_GB2312" w:hAnsi="Times New Roman"/>
          <w:color w:val="000000" w:themeColor="text1"/>
          <w:sz w:val="32"/>
          <w:szCs w:val="32"/>
        </w:rPr>
        <w:t>对涉罪未成年人作附条件不起诉</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人，作不批捕、不起</w:t>
      </w:r>
      <w:r>
        <w:rPr>
          <w:rFonts w:ascii="Times New Roman" w:eastAsia="仿宋_GB2312" w:hAnsi="Times New Roman"/>
          <w:color w:val="000000" w:themeColor="text1"/>
          <w:sz w:val="32"/>
          <w:szCs w:val="32"/>
        </w:rPr>
        <w:lastRenderedPageBreak/>
        <w:t>诉决定</w:t>
      </w: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人，帮教</w:t>
      </w: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人重返校园，</w:t>
      </w:r>
      <w:r>
        <w:rPr>
          <w:rStyle w:val="NormalCharacter"/>
          <w:rFonts w:ascii="Times New Roman" w:eastAsia="仿宋_GB2312" w:hAnsi="Times New Roman"/>
          <w:color w:val="000000" w:themeColor="text1"/>
          <w:sz w:val="32"/>
          <w:szCs w:val="32"/>
        </w:rPr>
        <w:t>为</w:t>
      </w:r>
      <w:r>
        <w:rPr>
          <w:rStyle w:val="NormalCharacter"/>
          <w:rFonts w:ascii="Times New Roman" w:eastAsia="仿宋_GB2312" w:hAnsi="Times New Roman"/>
          <w:color w:val="000000" w:themeColor="text1"/>
          <w:sz w:val="32"/>
          <w:szCs w:val="32"/>
        </w:rPr>
        <w:t>23</w:t>
      </w:r>
      <w:r>
        <w:rPr>
          <w:rStyle w:val="NormalCharacter"/>
          <w:rFonts w:ascii="Times New Roman" w:eastAsia="仿宋_GB2312" w:hAnsi="Times New Roman"/>
          <w:color w:val="000000" w:themeColor="text1"/>
          <w:sz w:val="32"/>
          <w:szCs w:val="32"/>
        </w:rPr>
        <w:t>名未成年犯罪嫌疑人提供法律援助，向涉罪未成年人及其监护人发出</w:t>
      </w:r>
      <w:r>
        <w:rPr>
          <w:rFonts w:eastAsia="仿宋_GB2312"/>
          <w:sz w:val="32"/>
          <w:szCs w:val="32"/>
        </w:rPr>
        <w:t>督促监护令</w:t>
      </w:r>
      <w:r>
        <w:rPr>
          <w:sz w:val="32"/>
          <w:szCs w:val="32"/>
        </w:rPr>
        <w:t>4</w:t>
      </w:r>
      <w:r>
        <w:rPr>
          <w:rFonts w:ascii="仿宋_GB2312" w:eastAsia="仿宋_GB2312" w:hint="eastAsia"/>
          <w:sz w:val="32"/>
          <w:szCs w:val="32"/>
        </w:rPr>
        <w:t>份</w:t>
      </w:r>
      <w:r>
        <w:rPr>
          <w:rStyle w:val="NormalCharacter"/>
          <w:rFonts w:ascii="Times New Roman" w:eastAsia="仿宋_GB2312" w:hAnsi="Times New Roman"/>
          <w:color w:val="000000" w:themeColor="text1"/>
          <w:sz w:val="32"/>
          <w:szCs w:val="32"/>
        </w:rPr>
        <w:t>。建立集青少年法治教育、</w:t>
      </w:r>
      <w:r>
        <w:rPr>
          <w:rFonts w:ascii="Times New Roman" w:eastAsia="仿宋_GB2312" w:hAnsi="Times New Roman"/>
          <w:color w:val="000000" w:themeColor="text1"/>
          <w:sz w:val="32"/>
          <w:szCs w:val="32"/>
        </w:rPr>
        <w:t>模拟法庭、心理咨询等功能为一体的未成年人检察办案区。</w:t>
      </w:r>
      <w:r>
        <w:rPr>
          <w:rStyle w:val="NormalCharacter"/>
          <w:rFonts w:ascii="Times New Roman" w:eastAsia="仿宋_GB2312" w:hAnsi="Times New Roman"/>
          <w:color w:val="000000" w:themeColor="text1"/>
          <w:sz w:val="32"/>
          <w:szCs w:val="32"/>
        </w:rPr>
        <w:t>依托法治副校长，开展法治进校园</w:t>
      </w:r>
      <w:r>
        <w:rPr>
          <w:rStyle w:val="NormalCharacter"/>
          <w:rFonts w:ascii="仿宋_GB2312" w:eastAsia="仿宋_GB2312" w:hAnsi="仿宋_GB2312" w:cs="仿宋_GB2312" w:hint="eastAsia"/>
          <w:color w:val="000000" w:themeColor="text1"/>
          <w:sz w:val="32"/>
          <w:szCs w:val="32"/>
        </w:rPr>
        <w:t>“</w:t>
      </w:r>
      <w:r>
        <w:rPr>
          <w:rStyle w:val="NormalCharacter"/>
          <w:rFonts w:ascii="Times New Roman" w:eastAsia="仿宋_GB2312" w:hAnsi="Times New Roman"/>
          <w:color w:val="000000" w:themeColor="text1"/>
          <w:sz w:val="32"/>
          <w:szCs w:val="32"/>
        </w:rPr>
        <w:t>十百千万工程</w:t>
      </w:r>
      <w:r>
        <w:rPr>
          <w:rStyle w:val="NormalCharacter"/>
          <w:rFonts w:ascii="仿宋_GB2312" w:eastAsia="仿宋_GB2312" w:hAnsi="仿宋_GB2312" w:cs="仿宋_GB2312" w:hint="eastAsia"/>
          <w:color w:val="000000" w:themeColor="text1"/>
          <w:sz w:val="32"/>
          <w:szCs w:val="32"/>
        </w:rPr>
        <w:t>”</w:t>
      </w:r>
      <w:r>
        <w:rPr>
          <w:rStyle w:val="NormalCharacter"/>
          <w:rFonts w:ascii="Times New Roman" w:eastAsia="仿宋_GB2312" w:hAnsi="Times New Roman"/>
          <w:color w:val="000000" w:themeColor="text1"/>
          <w:sz w:val="32"/>
          <w:szCs w:val="32"/>
        </w:rPr>
        <w:t>巡讲</w:t>
      </w:r>
      <w:r>
        <w:rPr>
          <w:rStyle w:val="NormalCharacter"/>
          <w:rFonts w:ascii="Times New Roman" w:eastAsia="仿宋_GB2312" w:hAnsi="Times New Roman"/>
          <w:color w:val="000000" w:themeColor="text1"/>
          <w:sz w:val="32"/>
          <w:szCs w:val="32"/>
        </w:rPr>
        <w:t>30</w:t>
      </w:r>
      <w:r>
        <w:rPr>
          <w:rStyle w:val="NormalCharacter"/>
          <w:rFonts w:ascii="Times New Roman" w:eastAsia="仿宋_GB2312" w:hAnsi="Times New Roman"/>
          <w:color w:val="000000" w:themeColor="text1"/>
          <w:sz w:val="32"/>
          <w:szCs w:val="32"/>
        </w:rPr>
        <w:t>场，覆盖</w:t>
      </w:r>
      <w:r>
        <w:rPr>
          <w:rStyle w:val="NormalCharacter"/>
          <w:rFonts w:ascii="Times New Roman" w:eastAsia="仿宋_GB2312" w:hAnsi="Times New Roman"/>
          <w:color w:val="000000" w:themeColor="text1"/>
          <w:sz w:val="32"/>
          <w:szCs w:val="32"/>
        </w:rPr>
        <w:t>5000</w:t>
      </w:r>
      <w:r>
        <w:rPr>
          <w:rStyle w:val="NormalCharacter"/>
          <w:rFonts w:ascii="Times New Roman" w:eastAsia="仿宋_GB2312" w:hAnsi="Times New Roman"/>
          <w:color w:val="000000" w:themeColor="text1"/>
          <w:sz w:val="32"/>
          <w:szCs w:val="32"/>
        </w:rPr>
        <w:t>余名</w:t>
      </w:r>
      <w:r>
        <w:rPr>
          <w:rFonts w:ascii="Times New Roman" w:eastAsia="仿宋_GB2312" w:hAnsi="Times New Roman"/>
          <w:color w:val="000000" w:themeColor="text1"/>
          <w:sz w:val="32"/>
          <w:szCs w:val="32"/>
        </w:rPr>
        <w:t>师生</w:t>
      </w:r>
      <w:r>
        <w:rPr>
          <w:rStyle w:val="NormalCharacter"/>
          <w:rFonts w:ascii="Times New Roman" w:eastAsia="仿宋_GB2312" w:hAnsi="Times New Roman"/>
          <w:color w:val="000000" w:themeColor="text1"/>
          <w:sz w:val="32"/>
          <w:szCs w:val="32"/>
        </w:rPr>
        <w:t>，被授予通辽市青少年维权岗、通辽市三八红旗集体荣誉称号。</w:t>
      </w:r>
    </w:p>
    <w:p w:rsidR="00930F10" w:rsidRDefault="00930F10" w:rsidP="00930F10">
      <w:pPr>
        <w:pBdr>
          <w:bottom w:val="single" w:sz="4" w:space="18" w:color="FFFFFF"/>
        </w:pBdr>
        <w:shd w:val="clear" w:color="auto" w:fill="FFFFFF" w:themeFill="background1"/>
        <w:tabs>
          <w:tab w:val="left" w:pos="7380"/>
        </w:tabs>
        <w:snapToGrid w:val="0"/>
        <w:spacing w:line="560" w:lineRule="exact"/>
        <w:ind w:firstLineChars="200" w:firstLine="640"/>
        <w:textAlignment w:val="baseline"/>
        <w:rPr>
          <w:rStyle w:val="NormalCharacter"/>
          <w:rFonts w:ascii="Times New Roman" w:eastAsia="仿宋_GB2312" w:hAnsi="Times New Roman"/>
          <w:color w:val="000000" w:themeColor="text1"/>
          <w:sz w:val="32"/>
          <w:szCs w:val="32"/>
        </w:rPr>
      </w:pPr>
      <w:r>
        <w:rPr>
          <w:rFonts w:ascii="Times New Roman" w:eastAsia="楷体_GB2312" w:hAnsi="Times New Roman"/>
          <w:b/>
          <w:color w:val="000000" w:themeColor="text1"/>
          <w:sz w:val="32"/>
          <w:szCs w:val="32"/>
        </w:rPr>
        <w:t>主动服务反腐败工作大局。</w:t>
      </w:r>
      <w:r>
        <w:rPr>
          <w:rStyle w:val="NormalCharacter"/>
          <w:rFonts w:ascii="Times New Roman" w:eastAsia="仿宋_GB2312" w:hAnsi="Times New Roman"/>
          <w:color w:val="000000" w:themeColor="text1"/>
          <w:sz w:val="32"/>
          <w:szCs w:val="32"/>
        </w:rPr>
        <w:t>树立</w:t>
      </w:r>
      <w:r>
        <w:rPr>
          <w:rStyle w:val="NormalCharacter"/>
          <w:rFonts w:ascii="仿宋_GB2312" w:eastAsia="仿宋_GB2312" w:hAnsi="仿宋_GB2312" w:cs="仿宋_GB2312" w:hint="eastAsia"/>
          <w:color w:val="000000" w:themeColor="text1"/>
          <w:sz w:val="32"/>
          <w:szCs w:val="32"/>
        </w:rPr>
        <w:t>“</w:t>
      </w:r>
      <w:r>
        <w:rPr>
          <w:rStyle w:val="NormalCharacter"/>
          <w:rFonts w:ascii="Times New Roman" w:eastAsia="仿宋_GB2312" w:hAnsi="Times New Roman"/>
          <w:color w:val="000000" w:themeColor="text1"/>
          <w:sz w:val="32"/>
          <w:szCs w:val="32"/>
        </w:rPr>
        <w:t>转隶就是转机</w:t>
      </w:r>
      <w:r>
        <w:rPr>
          <w:rStyle w:val="NormalCharacter"/>
          <w:rFonts w:ascii="仿宋_GB2312" w:eastAsia="仿宋_GB2312" w:hAnsi="仿宋_GB2312" w:cs="仿宋_GB2312" w:hint="eastAsia"/>
          <w:color w:val="000000" w:themeColor="text1"/>
          <w:sz w:val="32"/>
          <w:szCs w:val="32"/>
        </w:rPr>
        <w:t>”</w:t>
      </w:r>
      <w:r>
        <w:rPr>
          <w:rStyle w:val="NormalCharacter"/>
          <w:rFonts w:ascii="Times New Roman" w:eastAsia="仿宋_GB2312" w:hAnsi="Times New Roman"/>
          <w:color w:val="000000" w:themeColor="text1"/>
          <w:sz w:val="32"/>
          <w:szCs w:val="32"/>
        </w:rPr>
        <w:t>理念，主动适应工作新模式，深化监察执法与刑事司法衔接，建立职务犯罪案件会商、线索移交机制，形成反腐败工作合力。四年来，起诉职务犯罪</w:t>
      </w:r>
      <w:r>
        <w:rPr>
          <w:rStyle w:val="NormalCharacter"/>
          <w:rFonts w:ascii="Times New Roman" w:eastAsia="仿宋_GB2312" w:hAnsi="Times New Roman"/>
          <w:color w:val="000000" w:themeColor="text1"/>
          <w:sz w:val="32"/>
          <w:szCs w:val="32"/>
        </w:rPr>
        <w:t>17</w:t>
      </w:r>
      <w:r>
        <w:rPr>
          <w:rStyle w:val="NormalCharacter"/>
          <w:rFonts w:ascii="Times New Roman" w:eastAsia="仿宋_GB2312" w:hAnsi="Times New Roman"/>
          <w:color w:val="000000" w:themeColor="text1"/>
          <w:sz w:val="32"/>
          <w:szCs w:val="32"/>
        </w:rPr>
        <w:t>件</w:t>
      </w:r>
      <w:r>
        <w:rPr>
          <w:rStyle w:val="NormalCharacter"/>
          <w:rFonts w:ascii="Times New Roman" w:eastAsia="仿宋_GB2312" w:hAnsi="Times New Roman"/>
          <w:color w:val="000000" w:themeColor="text1"/>
          <w:sz w:val="32"/>
          <w:szCs w:val="32"/>
        </w:rPr>
        <w:t>17</w:t>
      </w:r>
      <w:r>
        <w:rPr>
          <w:rStyle w:val="NormalCharacter"/>
          <w:rFonts w:ascii="Times New Roman" w:eastAsia="仿宋_GB2312" w:hAnsi="Times New Roman"/>
          <w:color w:val="000000" w:themeColor="text1"/>
          <w:sz w:val="32"/>
          <w:szCs w:val="32"/>
        </w:rPr>
        <w:t>人，切实担负起检察环节反腐败斗争重大政治责任。</w:t>
      </w:r>
    </w:p>
    <w:p w:rsidR="00930F10" w:rsidRDefault="00930F10" w:rsidP="00930F10">
      <w:pPr>
        <w:pBdr>
          <w:bottom w:val="single" w:sz="4" w:space="18" w:color="FFFFFF"/>
        </w:pBdr>
        <w:shd w:val="clear" w:color="auto" w:fill="FFFFFF" w:themeFill="background1"/>
        <w:tabs>
          <w:tab w:val="left" w:pos="7380"/>
        </w:tabs>
        <w:snapToGrid w:val="0"/>
        <w:spacing w:line="560" w:lineRule="exact"/>
        <w:ind w:firstLineChars="200" w:firstLine="640"/>
        <w:textAlignment w:val="baseline"/>
        <w:rPr>
          <w:rStyle w:val="NormalCharacter"/>
          <w:rFonts w:ascii="Times New Roman" w:hAnsi="Times New Roman"/>
          <w:sz w:val="32"/>
          <w:szCs w:val="32"/>
        </w:rPr>
      </w:pPr>
      <w:r>
        <w:rPr>
          <w:rFonts w:ascii="Times New Roman" w:eastAsia="楷体_GB2312" w:hAnsi="Times New Roman" w:hint="eastAsia"/>
          <w:b/>
          <w:color w:val="000000" w:themeColor="text1"/>
          <w:sz w:val="32"/>
          <w:szCs w:val="32"/>
        </w:rPr>
        <w:t>深化司法体制机制改革</w:t>
      </w:r>
      <w:r>
        <w:rPr>
          <w:rFonts w:ascii="Times New Roman" w:eastAsia="楷体_GB2312" w:hAnsi="Times New Roman"/>
          <w:b/>
          <w:color w:val="000000" w:themeColor="text1"/>
          <w:sz w:val="32"/>
          <w:szCs w:val="32"/>
        </w:rPr>
        <w:t>。</w:t>
      </w:r>
      <w:r>
        <w:rPr>
          <w:rStyle w:val="NormalCharacter"/>
          <w:rFonts w:ascii="仿宋_GB2312" w:eastAsia="仿宋_GB2312" w:hAnsi="Times New Roman" w:hint="eastAsia"/>
          <w:sz w:val="32"/>
          <w:szCs w:val="32"/>
        </w:rPr>
        <w:t>积极配合</w:t>
      </w:r>
      <w:r>
        <w:rPr>
          <w:rStyle w:val="NormalCharacter"/>
          <w:rFonts w:ascii="仿宋_GB2312" w:eastAsia="仿宋_GB2312" w:hAnsi="Times New Roman" w:hint="eastAsia"/>
          <w:color w:val="000000" w:themeColor="text1"/>
          <w:sz w:val="32"/>
          <w:szCs w:val="32"/>
        </w:rPr>
        <w:t>监察体制改革，完成人员编制、职能转隶工作；推进</w:t>
      </w:r>
      <w:r>
        <w:rPr>
          <w:rStyle w:val="NormalCharacter"/>
          <w:rFonts w:ascii="仿宋_GB2312" w:eastAsia="仿宋_GB2312" w:hAnsi="Times New Roman" w:hint="eastAsia"/>
          <w:sz w:val="32"/>
          <w:szCs w:val="32"/>
        </w:rPr>
        <w:t>内设机构改革，</w:t>
      </w:r>
      <w:r>
        <w:rPr>
          <w:rStyle w:val="NormalCharacter"/>
          <w:rFonts w:ascii="仿宋_GB2312" w:eastAsia="仿宋_GB2312" w:hAnsi="Times New Roman" w:hint="eastAsia"/>
          <w:color w:val="000000" w:themeColor="text1"/>
          <w:sz w:val="32"/>
          <w:szCs w:val="32"/>
        </w:rPr>
        <w:t>将原有16个科室精简为5个内设机构，精简率为69%</w:t>
      </w:r>
      <w:r>
        <w:rPr>
          <w:rStyle w:val="NormalCharacter"/>
          <w:rFonts w:ascii="仿宋_GB2312" w:eastAsia="仿宋_GB2312" w:hAnsi="Times New Roman" w:hint="eastAsia"/>
          <w:sz w:val="32"/>
          <w:szCs w:val="32"/>
        </w:rPr>
        <w:t>。实行“捕诉一体”化工作机制，办案周期平均缩短50%。</w:t>
      </w:r>
      <w:r>
        <w:rPr>
          <w:rStyle w:val="NormalCharacter"/>
          <w:rFonts w:ascii="仿宋_GB2312" w:eastAsia="仿宋_GB2312" w:hAnsi="Times New Roman" w:hint="eastAsia"/>
          <w:color w:val="000000" w:themeColor="text1"/>
          <w:sz w:val="32"/>
          <w:szCs w:val="32"/>
        </w:rPr>
        <w:t>落实人员分类管理，突出检察官办案主体，</w:t>
      </w:r>
      <w:r>
        <w:rPr>
          <w:rStyle w:val="NormalCharacter"/>
          <w:rFonts w:ascii="仿宋_GB2312" w:eastAsia="仿宋_GB2312" w:hAnsi="Times New Roman" w:hint="eastAsia"/>
          <w:sz w:val="32"/>
          <w:szCs w:val="32"/>
        </w:rPr>
        <w:t>完</w:t>
      </w:r>
      <w:r>
        <w:rPr>
          <w:rStyle w:val="NormalCharacter"/>
          <w:rFonts w:ascii="仿宋_GB2312" w:eastAsia="仿宋_GB2312" w:hAnsi="Times New Roman" w:hint="eastAsia"/>
          <w:color w:val="000000" w:themeColor="text1"/>
          <w:sz w:val="32"/>
          <w:szCs w:val="32"/>
        </w:rPr>
        <w:t>善检察官权力清单，落实领导带头办案制度，建立办案质量终身负责制和错案责任追究制，构建以“案-件比”为核心的案件质量评价指标体系。</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Times New Roman"/>
          <w:b/>
          <w:color w:val="000000" w:themeColor="text1"/>
          <w:sz w:val="32"/>
          <w:szCs w:val="32"/>
        </w:rPr>
        <w:t>智慧检务提升工作质效</w:t>
      </w:r>
      <w:r>
        <w:rPr>
          <w:rFonts w:ascii="Times New Roman" w:eastAsia="楷体_GB2312" w:hAnsi="楷体_GB2312"/>
          <w:b/>
          <w:bCs/>
          <w:sz w:val="32"/>
          <w:szCs w:val="32"/>
        </w:rPr>
        <w:t>。</w:t>
      </w:r>
      <w:r>
        <w:rPr>
          <w:rFonts w:ascii="Times New Roman" w:eastAsia="仿宋_GB2312" w:hAnsi="仿宋_GB2312"/>
          <w:sz w:val="32"/>
          <w:szCs w:val="32"/>
        </w:rPr>
        <w:t>深化电子检务平台建设，建设公开听证室、远程接访室、远程提审室等办公办案场所。</w:t>
      </w:r>
      <w:r>
        <w:rPr>
          <w:rFonts w:ascii="Times New Roman" w:eastAsia="仿宋_GB2312" w:hAnsi="仿宋_GB2312" w:hint="eastAsia"/>
          <w:color w:val="000000" w:themeColor="text1"/>
          <w:sz w:val="32"/>
          <w:szCs w:val="32"/>
        </w:rPr>
        <w:t>依托</w:t>
      </w:r>
      <w:r>
        <w:rPr>
          <w:rFonts w:ascii="Times New Roman" w:eastAsia="仿宋_GB2312" w:hAnsi="Times New Roman"/>
          <w:color w:val="000000" w:themeColor="text1"/>
          <w:sz w:val="32"/>
          <w:szCs w:val="32"/>
        </w:rPr>
        <w:t>12309</w:t>
      </w:r>
      <w:r>
        <w:rPr>
          <w:rFonts w:ascii="Times New Roman" w:eastAsia="仿宋_GB2312" w:hAnsi="仿宋_GB2312"/>
          <w:color w:val="000000" w:themeColor="text1"/>
          <w:sz w:val="32"/>
          <w:szCs w:val="32"/>
        </w:rPr>
        <w:t>检察服务中心</w:t>
      </w:r>
      <w:r>
        <w:rPr>
          <w:rFonts w:ascii="Times New Roman" w:eastAsia="仿宋_GB2312" w:hAnsi="Times New Roman"/>
          <w:color w:val="000000" w:themeColor="text1"/>
          <w:sz w:val="32"/>
          <w:szCs w:val="32"/>
        </w:rPr>
        <w:t>，推进线上线下</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一站式</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检察服务，提供查询、咨询</w:t>
      </w:r>
      <w:r>
        <w:rPr>
          <w:rFonts w:ascii="Times New Roman" w:eastAsia="仿宋_GB2312" w:hAnsi="Times New Roman"/>
          <w:color w:val="000000" w:themeColor="text1"/>
          <w:sz w:val="32"/>
          <w:szCs w:val="32"/>
        </w:rPr>
        <w:t>759</w:t>
      </w:r>
      <w:r>
        <w:rPr>
          <w:rFonts w:ascii="Times New Roman" w:eastAsia="仿宋_GB2312" w:hAnsi="Times New Roman"/>
          <w:color w:val="000000" w:themeColor="text1"/>
          <w:sz w:val="32"/>
          <w:szCs w:val="32"/>
        </w:rPr>
        <w:t>人</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次</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，提供律师预约阅卷服务</w:t>
      </w:r>
      <w:r>
        <w:rPr>
          <w:rFonts w:ascii="Times New Roman" w:eastAsia="仿宋_GB2312" w:hAnsi="Times New Roman"/>
          <w:color w:val="000000" w:themeColor="text1"/>
          <w:sz w:val="32"/>
          <w:szCs w:val="32"/>
        </w:rPr>
        <w:t>138</w:t>
      </w:r>
      <w:r>
        <w:rPr>
          <w:rFonts w:ascii="Times New Roman" w:eastAsia="仿宋_GB2312" w:hAnsi="Times New Roman"/>
          <w:color w:val="000000" w:themeColor="text1"/>
          <w:sz w:val="32"/>
          <w:szCs w:val="32"/>
        </w:rPr>
        <w:t>次，远程接访</w:t>
      </w:r>
      <w:r>
        <w:rPr>
          <w:rFonts w:ascii="Times New Roman" w:eastAsia="仿宋_GB2312" w:hAnsi="Times New Roman"/>
          <w:color w:val="000000" w:themeColor="text1"/>
          <w:sz w:val="32"/>
          <w:szCs w:val="32"/>
        </w:rPr>
        <w:t>32</w:t>
      </w:r>
      <w:r>
        <w:rPr>
          <w:rFonts w:ascii="Times New Roman" w:eastAsia="仿宋_GB2312" w:hAnsi="Times New Roman"/>
          <w:color w:val="000000" w:themeColor="text1"/>
          <w:sz w:val="32"/>
          <w:szCs w:val="32"/>
        </w:rPr>
        <w:t>次。优化霍检指上检察院、</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朵兰</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未检</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等小程序集群建设，</w:t>
      </w:r>
      <w:r>
        <w:rPr>
          <w:rFonts w:ascii="Times New Roman" w:eastAsia="仿宋_GB2312" w:hAnsi="仿宋_GB2312"/>
          <w:color w:val="000000" w:themeColor="text1"/>
          <w:sz w:val="32"/>
          <w:szCs w:val="32"/>
        </w:rPr>
        <w:t>节约办案时间成本，</w:t>
      </w:r>
      <w:r>
        <w:rPr>
          <w:rFonts w:ascii="Times New Roman" w:eastAsia="仿宋_GB2312" w:hAnsi="仿宋_GB2312"/>
          <w:sz w:val="32"/>
          <w:szCs w:val="32"/>
        </w:rPr>
        <w:t>助推检察工作提质增效。</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3"/>
        <w:rPr>
          <w:rFonts w:ascii="Times New Roman" w:eastAsia="黑体" w:hAnsi="Times New Roman"/>
          <w:b/>
          <w:bCs/>
          <w:sz w:val="32"/>
          <w:szCs w:val="32"/>
        </w:rPr>
      </w:pPr>
      <w:r>
        <w:rPr>
          <w:rFonts w:ascii="Times New Roman" w:eastAsia="黑体" w:hAnsi="黑体"/>
          <w:b/>
          <w:bCs/>
          <w:sz w:val="32"/>
          <w:szCs w:val="32"/>
        </w:rPr>
        <w:lastRenderedPageBreak/>
        <w:t>四、</w:t>
      </w:r>
      <w:r>
        <w:rPr>
          <w:rFonts w:ascii="Times New Roman" w:eastAsia="黑体" w:hAnsi="Times New Roman"/>
          <w:b/>
          <w:bCs/>
          <w:sz w:val="32"/>
          <w:szCs w:val="32"/>
        </w:rPr>
        <w:t>秉持强基导向，夯实检察根基</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楷体_GB2312"/>
          <w:b/>
          <w:bCs/>
          <w:sz w:val="32"/>
          <w:szCs w:val="32"/>
        </w:rPr>
        <w:t>政治立检</w:t>
      </w:r>
      <w:r>
        <w:rPr>
          <w:rFonts w:ascii="楷体_GB2312" w:eastAsia="楷体_GB2312" w:hAnsi="楷体_GB2312" w:cs="楷体_GB2312" w:hint="eastAsia"/>
          <w:b/>
          <w:bCs/>
          <w:sz w:val="32"/>
          <w:szCs w:val="32"/>
        </w:rPr>
        <w:t>打造忠诚检察队伍。</w:t>
      </w:r>
      <w:r>
        <w:rPr>
          <w:rFonts w:ascii="Times New Roman" w:eastAsia="仿宋_GB2312" w:hAnsi="仿宋_GB2312" w:hint="eastAsia"/>
          <w:sz w:val="32"/>
          <w:szCs w:val="32"/>
        </w:rPr>
        <w:t>坚持党建引领，</w:t>
      </w:r>
      <w:r>
        <w:rPr>
          <w:rFonts w:ascii="Times New Roman" w:eastAsia="仿宋_GB2312" w:hAnsi="仿宋_GB2312"/>
          <w:sz w:val="32"/>
          <w:szCs w:val="32"/>
        </w:rPr>
        <w:t>扎实开展</w:t>
      </w:r>
      <w:r>
        <w:rPr>
          <w:rFonts w:ascii="仿宋_GB2312" w:eastAsia="仿宋_GB2312" w:hAnsi="Times New Roman" w:hint="eastAsia"/>
          <w:sz w:val="32"/>
          <w:szCs w:val="32"/>
        </w:rPr>
        <w:t>“</w:t>
      </w:r>
      <w:r>
        <w:rPr>
          <w:rFonts w:ascii="仿宋_GB2312" w:eastAsia="仿宋_GB2312" w:hAnsi="仿宋_GB2312" w:hint="eastAsia"/>
          <w:sz w:val="32"/>
          <w:szCs w:val="32"/>
        </w:rPr>
        <w:t>两学一做</w:t>
      </w:r>
      <w:r>
        <w:rPr>
          <w:rFonts w:ascii="仿宋_GB2312" w:eastAsia="仿宋_GB2312" w:hAnsi="Times New Roman" w:hint="eastAsia"/>
          <w:sz w:val="32"/>
          <w:szCs w:val="32"/>
        </w:rPr>
        <w:t>”学习教育、“</w:t>
      </w:r>
      <w:r>
        <w:rPr>
          <w:rFonts w:ascii="仿宋_GB2312" w:eastAsia="仿宋_GB2312" w:hAnsi="仿宋_GB2312" w:hint="eastAsia"/>
          <w:sz w:val="32"/>
          <w:szCs w:val="32"/>
        </w:rPr>
        <w:t>不忘初心、牢记使命</w:t>
      </w:r>
      <w:r>
        <w:rPr>
          <w:rFonts w:ascii="仿宋_GB2312" w:eastAsia="仿宋_GB2312" w:hAnsi="Times New Roman" w:hint="eastAsia"/>
          <w:sz w:val="32"/>
          <w:szCs w:val="32"/>
        </w:rPr>
        <w:t>”</w:t>
      </w:r>
      <w:r>
        <w:rPr>
          <w:rFonts w:ascii="Times New Roman" w:eastAsia="仿宋_GB2312" w:hAnsi="仿宋_GB2312"/>
          <w:sz w:val="32"/>
          <w:szCs w:val="32"/>
        </w:rPr>
        <w:t>主题教育和党史学习教育等</w:t>
      </w:r>
      <w:r>
        <w:rPr>
          <w:rFonts w:ascii="Times New Roman" w:eastAsia="仿宋_GB2312" w:hAnsi="仿宋_GB2312" w:hint="eastAsia"/>
          <w:sz w:val="32"/>
          <w:szCs w:val="32"/>
        </w:rPr>
        <w:t>系列</w:t>
      </w:r>
      <w:r>
        <w:rPr>
          <w:rFonts w:ascii="Times New Roman" w:eastAsia="仿宋_GB2312" w:hAnsi="仿宋_GB2312"/>
          <w:sz w:val="32"/>
          <w:szCs w:val="32"/>
        </w:rPr>
        <w:t>活动，认真贯彻《中国共产党政法工作条例》，严格执行重大事项请示报告制度，主动向市委、政法委专题报告公益诉讼、扫黑除恶、司法救助等工作情况</w:t>
      </w:r>
      <w:r>
        <w:rPr>
          <w:rFonts w:ascii="Times New Roman" w:eastAsia="仿宋_GB2312" w:hAnsi="Times New Roman"/>
          <w:sz w:val="32"/>
          <w:szCs w:val="32"/>
        </w:rPr>
        <w:t>18</w:t>
      </w:r>
      <w:r>
        <w:rPr>
          <w:rFonts w:ascii="Times New Roman" w:eastAsia="仿宋_GB2312" w:hAnsi="仿宋_GB2312"/>
          <w:sz w:val="32"/>
          <w:szCs w:val="32"/>
        </w:rPr>
        <w:t>次，获领导批示</w:t>
      </w:r>
      <w:r>
        <w:rPr>
          <w:rFonts w:ascii="Times New Roman" w:eastAsia="仿宋_GB2312" w:hAnsi="Times New Roman"/>
          <w:sz w:val="32"/>
          <w:szCs w:val="32"/>
        </w:rPr>
        <w:t>10</w:t>
      </w:r>
      <w:r>
        <w:rPr>
          <w:rFonts w:ascii="Times New Roman" w:eastAsia="仿宋_GB2312" w:hAnsi="仿宋_GB2312"/>
          <w:sz w:val="32"/>
          <w:szCs w:val="32"/>
        </w:rPr>
        <w:t>次。强化模范机关建设，</w:t>
      </w:r>
      <w:r>
        <w:rPr>
          <w:rFonts w:ascii="Times New Roman" w:eastAsia="仿宋_GB2312" w:hAnsi="仿宋_GB2312" w:hint="eastAsia"/>
          <w:sz w:val="32"/>
          <w:szCs w:val="32"/>
        </w:rPr>
        <w:t>着力</w:t>
      </w:r>
      <w:r>
        <w:rPr>
          <w:rFonts w:ascii="Times New Roman" w:eastAsia="仿宋_GB2312" w:hAnsi="仿宋_GB2312"/>
          <w:sz w:val="32"/>
          <w:szCs w:val="32"/>
        </w:rPr>
        <w:t>做好检察环节民族团结进步工作，被评为通辽市机关党建示范点、通辽市民族团结进步示范单位。</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仿宋_GB2312" w:eastAsia="仿宋_GB2312" w:hAnsi="Times New Roman"/>
          <w:sz w:val="32"/>
          <w:szCs w:val="32"/>
        </w:rPr>
      </w:pPr>
      <w:r>
        <w:rPr>
          <w:rFonts w:ascii="Times New Roman" w:eastAsia="楷体_GB2312" w:hAnsi="楷体_GB2312"/>
          <w:b/>
          <w:bCs/>
          <w:sz w:val="32"/>
          <w:szCs w:val="32"/>
        </w:rPr>
        <w:t>从严治检</w:t>
      </w:r>
      <w:r>
        <w:rPr>
          <w:rFonts w:ascii="楷体_GB2312" w:eastAsia="楷体_GB2312" w:hAnsi="楷体_GB2312" w:cs="楷体_GB2312" w:hint="eastAsia"/>
          <w:b/>
          <w:bCs/>
          <w:sz w:val="32"/>
          <w:szCs w:val="32"/>
        </w:rPr>
        <w:t>打造干净检察队伍</w:t>
      </w:r>
      <w:r>
        <w:rPr>
          <w:rFonts w:ascii="Times New Roman" w:eastAsia="楷体_GB2312" w:hAnsi="楷体_GB2312"/>
          <w:b/>
          <w:bCs/>
          <w:sz w:val="32"/>
          <w:szCs w:val="32"/>
        </w:rPr>
        <w:t>。</w:t>
      </w:r>
      <w:r>
        <w:rPr>
          <w:rFonts w:ascii="Times New Roman" w:eastAsia="仿宋_GB2312" w:hAnsi="仿宋_GB2312"/>
          <w:sz w:val="32"/>
          <w:szCs w:val="32"/>
        </w:rPr>
        <w:t>压紧压实全面从严治党主体责任，</w:t>
      </w:r>
      <w:r>
        <w:rPr>
          <w:rFonts w:ascii="Times New Roman" w:eastAsia="仿宋_GB2312" w:hAnsi="仿宋_GB2312" w:hint="eastAsia"/>
          <w:sz w:val="32"/>
          <w:szCs w:val="32"/>
        </w:rPr>
        <w:t>以</w:t>
      </w:r>
      <w:r>
        <w:rPr>
          <w:rFonts w:ascii="仿宋_GB2312" w:eastAsia="仿宋_GB2312" w:hAnsi="仿宋_GB2312" w:hint="eastAsia"/>
          <w:sz w:val="32"/>
          <w:szCs w:val="32"/>
        </w:rPr>
        <w:t>作风建设年</w:t>
      </w:r>
      <w:r>
        <w:rPr>
          <w:rFonts w:ascii="仿宋_GB2312" w:eastAsia="仿宋_GB2312" w:hAnsi="Times New Roman" w:hint="eastAsia"/>
          <w:sz w:val="32"/>
          <w:szCs w:val="32"/>
        </w:rPr>
        <w:t>、</w:t>
      </w:r>
      <w:r>
        <w:rPr>
          <w:rFonts w:ascii="仿宋_GB2312" w:eastAsia="仿宋_GB2312" w:hAnsi="仿宋_GB2312" w:hint="eastAsia"/>
          <w:sz w:val="32"/>
          <w:szCs w:val="32"/>
        </w:rPr>
        <w:t>忠诚干净担当</w:t>
      </w:r>
      <w:r>
        <w:rPr>
          <w:rFonts w:ascii="仿宋_GB2312" w:eastAsia="仿宋_GB2312" w:hAnsi="Times New Roman" w:hint="eastAsia"/>
          <w:sz w:val="32"/>
          <w:szCs w:val="32"/>
        </w:rPr>
        <w:t>专题教育、</w:t>
      </w:r>
      <w:r>
        <w:rPr>
          <w:rFonts w:ascii="仿宋_GB2312" w:eastAsia="仿宋_GB2312" w:hAnsi="仿宋_GB2312" w:hint="eastAsia"/>
          <w:sz w:val="32"/>
          <w:szCs w:val="32"/>
        </w:rPr>
        <w:t>正风肃纪深化年</w:t>
      </w:r>
      <w:r>
        <w:rPr>
          <w:rFonts w:ascii="Times New Roman" w:eastAsia="仿宋_GB2312" w:hAnsi="仿宋_GB2312"/>
          <w:sz w:val="32"/>
          <w:szCs w:val="32"/>
        </w:rPr>
        <w:t>、政法队伍教育整顿等专项行动</w:t>
      </w:r>
      <w:r>
        <w:rPr>
          <w:rFonts w:ascii="Times New Roman" w:eastAsia="仿宋_GB2312" w:hAnsi="仿宋_GB2312" w:hint="eastAsia"/>
          <w:sz w:val="32"/>
          <w:szCs w:val="32"/>
        </w:rPr>
        <w:t>为载体，</w:t>
      </w:r>
      <w:r>
        <w:rPr>
          <w:rFonts w:ascii="Times New Roman" w:eastAsia="仿宋_GB2312" w:hAnsi="仿宋_GB2312"/>
          <w:sz w:val="32"/>
          <w:szCs w:val="32"/>
        </w:rPr>
        <w:t>深入开展</w:t>
      </w:r>
      <w:r>
        <w:rPr>
          <w:rFonts w:ascii="Times New Roman" w:eastAsia="仿宋_GB2312" w:hAnsi="仿宋_GB2312" w:hint="eastAsia"/>
          <w:sz w:val="32"/>
          <w:szCs w:val="32"/>
        </w:rPr>
        <w:t>检察队伍</w:t>
      </w:r>
      <w:r>
        <w:rPr>
          <w:rFonts w:ascii="Times New Roman" w:eastAsia="仿宋_GB2312" w:hAnsi="仿宋_GB2312"/>
          <w:sz w:val="32"/>
          <w:szCs w:val="32"/>
        </w:rPr>
        <w:t>纪律作风整顿，自觉接受通辽市检察院党组巡察，认真做好</w:t>
      </w:r>
      <w:r>
        <w:rPr>
          <w:rFonts w:ascii="Times New Roman" w:eastAsia="仿宋_GB2312" w:hAnsi="仿宋_GB2312" w:hint="eastAsia"/>
          <w:sz w:val="32"/>
          <w:szCs w:val="32"/>
        </w:rPr>
        <w:t>巡察</w:t>
      </w:r>
      <w:r>
        <w:rPr>
          <w:rFonts w:ascii="Times New Roman" w:eastAsia="仿宋_GB2312" w:hAnsi="仿宋_GB2312"/>
          <w:sz w:val="32"/>
          <w:szCs w:val="32"/>
        </w:rPr>
        <w:t>整</w:t>
      </w:r>
      <w:r>
        <w:rPr>
          <w:rFonts w:ascii="仿宋_GB2312" w:eastAsia="仿宋_GB2312" w:hAnsi="仿宋_GB2312" w:hint="eastAsia"/>
          <w:sz w:val="32"/>
          <w:szCs w:val="32"/>
        </w:rPr>
        <w:t>改</w:t>
      </w:r>
      <w:r>
        <w:rPr>
          <w:rFonts w:ascii="仿宋_GB2312" w:eastAsia="仿宋_GB2312" w:hAnsi="Times New Roman" w:hint="eastAsia"/>
          <w:sz w:val="32"/>
          <w:szCs w:val="32"/>
        </w:rPr>
        <w:t>“</w:t>
      </w:r>
      <w:r>
        <w:rPr>
          <w:rFonts w:ascii="仿宋_GB2312" w:eastAsia="仿宋_GB2312" w:hAnsi="仿宋_GB2312" w:hint="eastAsia"/>
          <w:sz w:val="32"/>
          <w:szCs w:val="32"/>
        </w:rPr>
        <w:t>后半篇文章</w:t>
      </w:r>
      <w:r>
        <w:rPr>
          <w:rFonts w:ascii="仿宋_GB2312" w:eastAsia="仿宋_GB2312" w:hAnsi="Times New Roman" w:hint="eastAsia"/>
          <w:sz w:val="32"/>
          <w:szCs w:val="32"/>
        </w:rPr>
        <w:t>”</w:t>
      </w:r>
      <w:r>
        <w:rPr>
          <w:rFonts w:ascii="仿宋_GB2312" w:eastAsia="仿宋_GB2312" w:hAnsi="仿宋_GB2312" w:hint="eastAsia"/>
          <w:sz w:val="32"/>
          <w:szCs w:val="32"/>
        </w:rPr>
        <w:t>。坚持刀刃向内，突出整治</w:t>
      </w:r>
      <w:r>
        <w:rPr>
          <w:rFonts w:ascii="仿宋_GB2312" w:eastAsia="仿宋_GB2312" w:hAnsi="Times New Roman" w:hint="eastAsia"/>
          <w:sz w:val="32"/>
          <w:szCs w:val="32"/>
        </w:rPr>
        <w:t>“</w:t>
      </w:r>
      <w:r>
        <w:rPr>
          <w:rFonts w:ascii="仿宋_GB2312" w:eastAsia="仿宋_GB2312" w:hAnsi="仿宋_GB2312" w:hint="eastAsia"/>
          <w:sz w:val="32"/>
          <w:szCs w:val="32"/>
        </w:rPr>
        <w:t>七大顽瘴痼疾</w:t>
      </w:r>
      <w:r>
        <w:rPr>
          <w:rFonts w:ascii="仿宋_GB2312" w:eastAsia="仿宋_GB2312" w:hAnsi="Times New Roman" w:hint="eastAsia"/>
          <w:sz w:val="32"/>
          <w:szCs w:val="32"/>
        </w:rPr>
        <w:t>”</w:t>
      </w:r>
      <w:r>
        <w:rPr>
          <w:rFonts w:ascii="仿宋_GB2312" w:eastAsia="仿宋_GB2312" w:hAnsi="仿宋_GB2312" w:hint="eastAsia"/>
          <w:sz w:val="32"/>
          <w:szCs w:val="32"/>
        </w:rPr>
        <w:t>，健全完善制度机制</w:t>
      </w:r>
      <w:r>
        <w:rPr>
          <w:rFonts w:ascii="仿宋_GB2312" w:eastAsia="仿宋_GB2312" w:hAnsi="Times New Roman" w:hint="eastAsia"/>
          <w:sz w:val="32"/>
          <w:szCs w:val="32"/>
        </w:rPr>
        <w:t>14</w:t>
      </w:r>
      <w:r>
        <w:rPr>
          <w:rFonts w:ascii="仿宋_GB2312" w:eastAsia="仿宋_GB2312" w:hAnsi="仿宋_GB2312" w:hint="eastAsia"/>
          <w:sz w:val="32"/>
          <w:szCs w:val="32"/>
        </w:rPr>
        <w:t>项，严格</w:t>
      </w:r>
      <w:r>
        <w:rPr>
          <w:rFonts w:ascii="Times New Roman" w:eastAsia="仿宋_GB2312" w:hAnsi="仿宋_GB2312"/>
          <w:sz w:val="32"/>
          <w:szCs w:val="32"/>
        </w:rPr>
        <w:t>落实中央八项规定精神，持之以恒</w:t>
      </w:r>
      <w:r>
        <w:rPr>
          <w:rFonts w:ascii="Times New Roman" w:eastAsia="仿宋_GB2312" w:hAnsi="仿宋_GB2312" w:hint="eastAsia"/>
          <w:sz w:val="32"/>
          <w:szCs w:val="32"/>
        </w:rPr>
        <w:t>纠治</w:t>
      </w:r>
      <w:r>
        <w:rPr>
          <w:rFonts w:ascii="仿宋_GB2312" w:eastAsia="仿宋_GB2312" w:hAnsi="Times New Roman" w:hint="eastAsia"/>
          <w:sz w:val="32"/>
          <w:szCs w:val="32"/>
        </w:rPr>
        <w:t>“</w:t>
      </w:r>
      <w:r>
        <w:rPr>
          <w:rFonts w:ascii="仿宋_GB2312" w:eastAsia="仿宋_GB2312" w:hAnsi="仿宋_GB2312" w:hint="eastAsia"/>
          <w:sz w:val="32"/>
          <w:szCs w:val="32"/>
        </w:rPr>
        <w:t>四风</w:t>
      </w:r>
      <w:r>
        <w:rPr>
          <w:rFonts w:ascii="仿宋_GB2312" w:eastAsia="仿宋_GB2312" w:hAnsi="Times New Roman" w:hint="eastAsia"/>
          <w:sz w:val="32"/>
          <w:szCs w:val="32"/>
        </w:rPr>
        <w:t>”</w:t>
      </w:r>
      <w:r>
        <w:rPr>
          <w:rFonts w:ascii="仿宋_GB2312" w:eastAsia="仿宋_GB2312" w:hAnsi="仿宋_GB2312" w:hint="eastAsia"/>
          <w:sz w:val="32"/>
          <w:szCs w:val="32"/>
        </w:rPr>
        <w:t>，开展警示教育</w:t>
      </w:r>
      <w:r>
        <w:rPr>
          <w:rFonts w:ascii="仿宋_GB2312" w:eastAsia="仿宋_GB2312" w:hAnsi="Times New Roman" w:hint="eastAsia"/>
          <w:sz w:val="32"/>
          <w:szCs w:val="32"/>
        </w:rPr>
        <w:t>20</w:t>
      </w:r>
      <w:r>
        <w:rPr>
          <w:rFonts w:ascii="仿宋_GB2312" w:eastAsia="仿宋_GB2312" w:hAnsi="仿宋_GB2312" w:hint="eastAsia"/>
          <w:sz w:val="32"/>
          <w:szCs w:val="32"/>
        </w:rPr>
        <w:t>余次，持之以恒打造过硬检察队伍。</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楷体_GB2312"/>
          <w:b/>
          <w:bCs/>
          <w:sz w:val="32"/>
          <w:szCs w:val="32"/>
        </w:rPr>
        <w:t>素能强检</w:t>
      </w:r>
      <w:r>
        <w:rPr>
          <w:rFonts w:ascii="楷体_GB2312" w:eastAsia="楷体_GB2312" w:hAnsi="楷体_GB2312" w:cs="楷体_GB2312" w:hint="eastAsia"/>
          <w:b/>
          <w:bCs/>
          <w:sz w:val="32"/>
          <w:szCs w:val="32"/>
        </w:rPr>
        <w:t>打造担当检察队伍。</w:t>
      </w:r>
      <w:r>
        <w:rPr>
          <w:rFonts w:ascii="Times New Roman" w:eastAsia="仿宋_GB2312" w:hAnsi="仿宋_GB2312"/>
          <w:sz w:val="32"/>
          <w:szCs w:val="32"/>
        </w:rPr>
        <w:t>完善检察官讲法制度，突出实战、实用、实效导向，加大岗位练兵和业务培训，开展检察大讲堂、专家讲座、庭审观摩等业务实训</w:t>
      </w:r>
      <w:r>
        <w:rPr>
          <w:rFonts w:ascii="Times New Roman" w:eastAsia="仿宋_GB2312" w:hAnsi="Times New Roman"/>
          <w:sz w:val="32"/>
          <w:szCs w:val="32"/>
        </w:rPr>
        <w:t>80</w:t>
      </w:r>
      <w:r>
        <w:rPr>
          <w:rFonts w:ascii="Times New Roman" w:eastAsia="仿宋_GB2312" w:hAnsi="仿宋_GB2312"/>
          <w:sz w:val="32"/>
          <w:szCs w:val="32"/>
        </w:rPr>
        <w:t>场次，参加各类业务培训</w:t>
      </w:r>
      <w:r>
        <w:rPr>
          <w:rFonts w:ascii="Times New Roman" w:eastAsia="仿宋_GB2312" w:hAnsi="Times New Roman"/>
          <w:sz w:val="32"/>
          <w:szCs w:val="32"/>
        </w:rPr>
        <w:t>600</w:t>
      </w:r>
      <w:r>
        <w:rPr>
          <w:rFonts w:ascii="Times New Roman" w:eastAsia="仿宋_GB2312" w:hAnsi="仿宋_GB2312"/>
          <w:sz w:val="32"/>
          <w:szCs w:val="32"/>
        </w:rPr>
        <w:t>余人（次）。涌现出全区公诉业务标兵、全区刑事执行检察业务能手、全市最美政法干警等先进典型。检察宣传工作走在全市前列，被《检察日报》、</w:t>
      </w:r>
      <w:r>
        <w:rPr>
          <w:rFonts w:ascii="Times New Roman" w:eastAsia="仿宋_GB2312" w:hAnsi="仿宋_GB2312" w:hint="eastAsia"/>
          <w:sz w:val="32"/>
          <w:szCs w:val="32"/>
        </w:rPr>
        <w:t>《法治日报》、人民</w:t>
      </w:r>
      <w:r>
        <w:rPr>
          <w:rFonts w:ascii="Times New Roman" w:eastAsia="仿宋_GB2312" w:hAnsi="仿宋_GB2312"/>
          <w:sz w:val="32"/>
          <w:szCs w:val="32"/>
        </w:rPr>
        <w:t>网等</w:t>
      </w:r>
      <w:r>
        <w:rPr>
          <w:rFonts w:ascii="Times New Roman" w:eastAsia="仿宋_GB2312" w:hAnsi="仿宋_GB2312" w:hint="eastAsia"/>
          <w:sz w:val="32"/>
          <w:szCs w:val="32"/>
        </w:rPr>
        <w:t>国家级核心</w:t>
      </w:r>
      <w:r>
        <w:rPr>
          <w:rFonts w:ascii="Times New Roman" w:eastAsia="仿宋_GB2312" w:hAnsi="仿宋_GB2312"/>
          <w:sz w:val="32"/>
          <w:szCs w:val="32"/>
        </w:rPr>
        <w:t>媒体采用稿件</w:t>
      </w:r>
      <w:r>
        <w:rPr>
          <w:rFonts w:ascii="Times New Roman" w:eastAsia="仿宋_GB2312" w:hAnsi="Times New Roman"/>
          <w:sz w:val="32"/>
          <w:szCs w:val="32"/>
        </w:rPr>
        <w:t>500</w:t>
      </w:r>
      <w:r>
        <w:rPr>
          <w:rFonts w:ascii="Times New Roman" w:eastAsia="仿宋_GB2312" w:hAnsi="仿宋_GB2312"/>
          <w:sz w:val="32"/>
          <w:szCs w:val="32"/>
        </w:rPr>
        <w:t>余篇，编发</w:t>
      </w:r>
      <w:r>
        <w:rPr>
          <w:rFonts w:ascii="Times New Roman" w:eastAsia="仿宋_GB2312" w:hAnsi="Times New Roman"/>
          <w:sz w:val="32"/>
          <w:szCs w:val="32"/>
        </w:rPr>
        <w:t>“</w:t>
      </w:r>
      <w:r>
        <w:rPr>
          <w:rFonts w:ascii="Times New Roman" w:eastAsia="仿宋_GB2312" w:hAnsi="仿宋_GB2312"/>
          <w:sz w:val="32"/>
          <w:szCs w:val="32"/>
        </w:rPr>
        <w:t>两微一端</w:t>
      </w:r>
      <w:r>
        <w:rPr>
          <w:rFonts w:ascii="Times New Roman" w:eastAsia="仿宋_GB2312" w:hAnsi="Times New Roman"/>
          <w:sz w:val="32"/>
          <w:szCs w:val="32"/>
        </w:rPr>
        <w:t>”</w:t>
      </w:r>
      <w:r>
        <w:rPr>
          <w:rFonts w:ascii="Times New Roman" w:eastAsia="仿宋_GB2312" w:hAnsi="仿宋_GB2312"/>
          <w:sz w:val="32"/>
          <w:szCs w:val="32"/>
        </w:rPr>
        <w:t>资讯</w:t>
      </w:r>
      <w:r>
        <w:rPr>
          <w:rFonts w:ascii="Times New Roman" w:eastAsia="仿宋_GB2312" w:hAnsi="Times New Roman"/>
          <w:sz w:val="32"/>
          <w:szCs w:val="32"/>
        </w:rPr>
        <w:t>1.6</w:t>
      </w:r>
      <w:r>
        <w:rPr>
          <w:rFonts w:ascii="Times New Roman" w:eastAsia="仿宋_GB2312" w:hAnsi="仿宋_GB2312"/>
          <w:sz w:val="32"/>
          <w:szCs w:val="32"/>
        </w:rPr>
        <w:t>万余条，新媒体矩阵宣传作品累计点击量超过</w:t>
      </w:r>
      <w:r>
        <w:rPr>
          <w:rFonts w:ascii="Times New Roman" w:eastAsia="仿宋_GB2312" w:hAnsi="Times New Roman"/>
          <w:sz w:val="32"/>
          <w:szCs w:val="32"/>
        </w:rPr>
        <w:t>1000</w:t>
      </w:r>
      <w:r>
        <w:rPr>
          <w:rFonts w:ascii="Times New Roman" w:eastAsia="仿宋_GB2312" w:hAnsi="仿宋_GB2312"/>
          <w:sz w:val="32"/>
          <w:szCs w:val="32"/>
        </w:rPr>
        <w:t>万次，连续</w:t>
      </w:r>
      <w:r>
        <w:rPr>
          <w:rFonts w:ascii="Times New Roman" w:eastAsia="仿宋_GB2312" w:hAnsi="Times New Roman"/>
          <w:sz w:val="32"/>
          <w:szCs w:val="32"/>
        </w:rPr>
        <w:t>2</w:t>
      </w:r>
      <w:r>
        <w:rPr>
          <w:rFonts w:ascii="Times New Roman" w:eastAsia="仿宋_GB2312" w:hAnsi="仿宋_GB2312"/>
          <w:sz w:val="32"/>
          <w:szCs w:val="32"/>
        </w:rPr>
        <w:t>年荣获全国检察机关宣传先进单位称号。</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3"/>
        <w:rPr>
          <w:rFonts w:ascii="Times New Roman" w:eastAsia="黑体" w:hAnsi="Times New Roman"/>
          <w:b/>
          <w:bCs/>
          <w:color w:val="000000" w:themeColor="text1"/>
          <w:sz w:val="32"/>
          <w:szCs w:val="32"/>
        </w:rPr>
      </w:pPr>
      <w:r>
        <w:rPr>
          <w:rFonts w:ascii="Times New Roman" w:eastAsia="黑体" w:hAnsi="黑体"/>
          <w:b/>
          <w:bCs/>
          <w:color w:val="000000" w:themeColor="text1"/>
          <w:sz w:val="32"/>
          <w:szCs w:val="32"/>
        </w:rPr>
        <w:lastRenderedPageBreak/>
        <w:t>五、强化监督制约，守望公开公正</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Times New Roman" w:eastAsia="仿宋_GB2312" w:hAnsi="Times New Roman"/>
          <w:spacing w:val="-6"/>
          <w:sz w:val="32"/>
          <w:szCs w:val="32"/>
        </w:rPr>
      </w:pPr>
      <w:r>
        <w:rPr>
          <w:rFonts w:ascii="Times New Roman" w:eastAsia="楷体_GB2312" w:hAnsi="楷体_GB2312"/>
          <w:b/>
          <w:bCs/>
          <w:sz w:val="32"/>
          <w:szCs w:val="32"/>
        </w:rPr>
        <w:t>主动接受人大监督。</w:t>
      </w:r>
      <w:r>
        <w:rPr>
          <w:rFonts w:ascii="Times New Roman" w:eastAsia="仿宋_GB2312" w:hAnsi="仿宋_GB2312"/>
          <w:spacing w:val="-6"/>
          <w:sz w:val="32"/>
          <w:szCs w:val="32"/>
        </w:rPr>
        <w:t>自觉接受人大及其常委会监督，认真执行人大决议决定，及时办理</w:t>
      </w:r>
      <w:r>
        <w:rPr>
          <w:rFonts w:ascii="Times New Roman" w:eastAsia="仿宋_GB2312" w:hAnsi="仿宋_GB2312" w:hint="eastAsia"/>
          <w:spacing w:val="-6"/>
          <w:sz w:val="32"/>
          <w:szCs w:val="32"/>
        </w:rPr>
        <w:t>人大</w:t>
      </w:r>
      <w:r>
        <w:rPr>
          <w:rFonts w:ascii="Times New Roman" w:eastAsia="仿宋_GB2312" w:hAnsi="仿宋_GB2312"/>
          <w:spacing w:val="-6"/>
          <w:sz w:val="32"/>
          <w:szCs w:val="32"/>
        </w:rPr>
        <w:t>代表提出的</w:t>
      </w:r>
      <w:r>
        <w:rPr>
          <w:rFonts w:ascii="Times New Roman" w:eastAsia="仿宋_GB2312" w:hAnsi="仿宋_GB2312" w:hint="eastAsia"/>
          <w:spacing w:val="-6"/>
          <w:sz w:val="32"/>
          <w:szCs w:val="32"/>
        </w:rPr>
        <w:t>意见建议</w:t>
      </w:r>
      <w:r>
        <w:rPr>
          <w:rFonts w:ascii="Times New Roman" w:eastAsia="仿宋_GB2312" w:hAnsi="仿宋_GB2312"/>
          <w:spacing w:val="-6"/>
          <w:sz w:val="32"/>
          <w:szCs w:val="32"/>
        </w:rPr>
        <w:t>。拓宽与</w:t>
      </w:r>
      <w:r>
        <w:rPr>
          <w:rFonts w:ascii="Times New Roman" w:eastAsia="仿宋_GB2312" w:hAnsi="仿宋_GB2312" w:hint="eastAsia"/>
          <w:spacing w:val="-6"/>
          <w:sz w:val="32"/>
          <w:szCs w:val="32"/>
        </w:rPr>
        <w:t>人大</w:t>
      </w:r>
      <w:r>
        <w:rPr>
          <w:rFonts w:ascii="Times New Roman" w:eastAsia="仿宋_GB2312" w:hAnsi="仿宋_GB2312"/>
          <w:spacing w:val="-6"/>
          <w:sz w:val="32"/>
          <w:szCs w:val="32"/>
        </w:rPr>
        <w:t>代表</w:t>
      </w:r>
      <w:r>
        <w:rPr>
          <w:rFonts w:ascii="Times New Roman" w:eastAsia="仿宋_GB2312" w:hAnsi="仿宋_GB2312" w:hint="eastAsia"/>
          <w:spacing w:val="-6"/>
          <w:sz w:val="32"/>
          <w:szCs w:val="32"/>
        </w:rPr>
        <w:t>沟通</w:t>
      </w:r>
      <w:r>
        <w:rPr>
          <w:rFonts w:ascii="Times New Roman" w:eastAsia="仿宋_GB2312" w:hAnsi="仿宋_GB2312"/>
          <w:spacing w:val="-6"/>
          <w:sz w:val="32"/>
          <w:szCs w:val="32"/>
        </w:rPr>
        <w:t>联系渠道，</w:t>
      </w:r>
      <w:r>
        <w:rPr>
          <w:rFonts w:ascii="Times New Roman" w:eastAsia="仿宋_GB2312" w:hAnsi="仿宋_GB2312" w:hint="eastAsia"/>
          <w:spacing w:val="-6"/>
          <w:sz w:val="32"/>
          <w:szCs w:val="32"/>
        </w:rPr>
        <w:t>建立“线上</w:t>
      </w:r>
      <w:r>
        <w:rPr>
          <w:rFonts w:ascii="Times New Roman" w:eastAsia="仿宋_GB2312" w:hAnsi="仿宋_GB2312" w:hint="eastAsia"/>
          <w:spacing w:val="-6"/>
          <w:sz w:val="32"/>
          <w:szCs w:val="32"/>
        </w:rPr>
        <w:t>+</w:t>
      </w:r>
      <w:r>
        <w:rPr>
          <w:rFonts w:ascii="Times New Roman" w:eastAsia="仿宋_GB2312" w:hAnsi="仿宋_GB2312" w:hint="eastAsia"/>
          <w:spacing w:val="-6"/>
          <w:sz w:val="32"/>
          <w:szCs w:val="32"/>
        </w:rPr>
        <w:t>线下”全方位沟通载体，</w:t>
      </w:r>
      <w:r>
        <w:rPr>
          <w:rFonts w:ascii="Times New Roman" w:eastAsia="仿宋_GB2312" w:hAnsi="仿宋_GB2312"/>
          <w:spacing w:val="-6"/>
          <w:sz w:val="32"/>
          <w:szCs w:val="32"/>
        </w:rPr>
        <w:t>主动向人大报告工作</w:t>
      </w:r>
      <w:r>
        <w:rPr>
          <w:rFonts w:ascii="Times New Roman" w:eastAsia="仿宋_GB2312" w:hAnsi="Times New Roman"/>
          <w:spacing w:val="-6"/>
          <w:sz w:val="32"/>
          <w:szCs w:val="32"/>
        </w:rPr>
        <w:t>9</w:t>
      </w:r>
      <w:r>
        <w:rPr>
          <w:rFonts w:ascii="Times New Roman" w:eastAsia="仿宋_GB2312" w:hAnsi="仿宋_GB2312"/>
          <w:spacing w:val="-6"/>
          <w:sz w:val="32"/>
          <w:szCs w:val="32"/>
        </w:rPr>
        <w:t>次，接受人大常委会关于法律监督、公益诉讼、认罪认罚从宽、司法救助等专题调研</w:t>
      </w:r>
      <w:r>
        <w:rPr>
          <w:rFonts w:ascii="Times New Roman" w:eastAsia="仿宋_GB2312" w:hAnsi="Times New Roman"/>
          <w:spacing w:val="-6"/>
          <w:sz w:val="32"/>
          <w:szCs w:val="32"/>
        </w:rPr>
        <w:t>5</w:t>
      </w:r>
      <w:r>
        <w:rPr>
          <w:rFonts w:ascii="Times New Roman" w:eastAsia="仿宋_GB2312" w:hAnsi="仿宋_GB2312"/>
          <w:spacing w:val="-6"/>
          <w:sz w:val="32"/>
          <w:szCs w:val="32"/>
        </w:rPr>
        <w:t>次，主动走访征求人大代表意见建议</w:t>
      </w:r>
      <w:r>
        <w:rPr>
          <w:rFonts w:ascii="Times New Roman" w:eastAsia="仿宋_GB2312" w:hAnsi="Times New Roman"/>
          <w:spacing w:val="-6"/>
          <w:sz w:val="32"/>
          <w:szCs w:val="32"/>
        </w:rPr>
        <w:t>9</w:t>
      </w:r>
      <w:r>
        <w:rPr>
          <w:rFonts w:ascii="Times New Roman" w:eastAsia="仿宋_GB2312" w:hAnsi="仿宋_GB2312"/>
          <w:spacing w:val="-6"/>
          <w:sz w:val="32"/>
          <w:szCs w:val="32"/>
        </w:rPr>
        <w:t>次</w:t>
      </w:r>
      <w:r>
        <w:rPr>
          <w:rFonts w:ascii="Times New Roman" w:eastAsia="仿宋_GB2312" w:hAnsi="仿宋_GB2312" w:hint="eastAsia"/>
          <w:spacing w:val="-6"/>
          <w:sz w:val="32"/>
          <w:szCs w:val="32"/>
        </w:rPr>
        <w:t>，</w:t>
      </w:r>
      <w:r>
        <w:rPr>
          <w:rFonts w:ascii="Times New Roman" w:eastAsia="仿宋_GB2312" w:hAnsi="仿宋_GB2312"/>
          <w:spacing w:val="-6"/>
          <w:sz w:val="32"/>
          <w:szCs w:val="32"/>
        </w:rPr>
        <w:t>邀请人大代表以公开听证、检察开放日等方式调研检察工作</w:t>
      </w:r>
      <w:r>
        <w:rPr>
          <w:rFonts w:ascii="Times New Roman" w:eastAsia="仿宋_GB2312" w:hAnsi="Times New Roman"/>
          <w:spacing w:val="-6"/>
          <w:sz w:val="32"/>
          <w:szCs w:val="32"/>
        </w:rPr>
        <w:t>34</w:t>
      </w:r>
      <w:r>
        <w:rPr>
          <w:rFonts w:ascii="Times New Roman" w:eastAsia="仿宋_GB2312" w:hAnsi="仿宋_GB2312"/>
          <w:spacing w:val="-6"/>
          <w:sz w:val="32"/>
          <w:szCs w:val="32"/>
        </w:rPr>
        <w:t>次，积极回应人大代表对检察工作的新期待新要求。</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楷体_GB2312"/>
          <w:b/>
          <w:bCs/>
          <w:sz w:val="32"/>
          <w:szCs w:val="32"/>
        </w:rPr>
        <w:t>广泛接受民主监督。</w:t>
      </w:r>
      <w:r>
        <w:rPr>
          <w:rFonts w:ascii="Times New Roman" w:eastAsia="仿宋_GB2312" w:hAnsi="仿宋_GB2312"/>
          <w:sz w:val="32"/>
          <w:szCs w:val="32"/>
        </w:rPr>
        <w:t>主动向政协通报工作，邀请政协委员、人民监督员、人民群众和律师参加公开庭审、公开宣告、公开听证</w:t>
      </w:r>
      <w:r>
        <w:rPr>
          <w:rFonts w:ascii="Times New Roman" w:eastAsia="仿宋_GB2312" w:hAnsi="Times New Roman"/>
          <w:sz w:val="32"/>
          <w:szCs w:val="32"/>
        </w:rPr>
        <w:t>300</w:t>
      </w:r>
      <w:r>
        <w:rPr>
          <w:rFonts w:ascii="Times New Roman" w:eastAsia="仿宋_GB2312" w:hAnsi="仿宋_GB2312"/>
          <w:sz w:val="32"/>
          <w:szCs w:val="32"/>
        </w:rPr>
        <w:t>余人（次）。利用</w:t>
      </w:r>
      <w:r>
        <w:rPr>
          <w:rFonts w:ascii="仿宋_GB2312" w:eastAsia="仿宋_GB2312" w:hAnsi="仿宋_GB2312" w:cs="仿宋_GB2312" w:hint="eastAsia"/>
          <w:sz w:val="32"/>
          <w:szCs w:val="32"/>
        </w:rPr>
        <w:t>“</w:t>
      </w:r>
      <w:r>
        <w:rPr>
          <w:rFonts w:ascii="Times New Roman" w:eastAsia="仿宋_GB2312" w:hAnsi="仿宋_GB2312"/>
          <w:sz w:val="32"/>
          <w:szCs w:val="32"/>
        </w:rPr>
        <w:t>两微一端</w:t>
      </w:r>
      <w:r>
        <w:rPr>
          <w:rFonts w:ascii="仿宋_GB2312" w:eastAsia="仿宋_GB2312" w:hAnsi="仿宋_GB2312" w:cs="仿宋_GB2312" w:hint="eastAsia"/>
          <w:sz w:val="32"/>
          <w:szCs w:val="32"/>
        </w:rPr>
        <w:t>”</w:t>
      </w:r>
      <w:r>
        <w:rPr>
          <w:rFonts w:ascii="Times New Roman" w:eastAsia="仿宋_GB2312" w:hAnsi="仿宋_GB2312"/>
          <w:sz w:val="32"/>
          <w:szCs w:val="32"/>
        </w:rPr>
        <w:t>、</w:t>
      </w:r>
      <w:r>
        <w:rPr>
          <w:rFonts w:ascii="Times New Roman" w:eastAsia="仿宋_GB2312" w:hAnsi="Times New Roman"/>
          <w:sz w:val="32"/>
          <w:szCs w:val="32"/>
        </w:rPr>
        <w:t>12309</w:t>
      </w:r>
      <w:r>
        <w:rPr>
          <w:rFonts w:ascii="Times New Roman" w:eastAsia="仿宋_GB2312" w:hAnsi="仿宋_GB2312"/>
          <w:sz w:val="32"/>
          <w:szCs w:val="32"/>
        </w:rPr>
        <w:t>中国检察网等平台公开检察工作，</w:t>
      </w:r>
      <w:r>
        <w:rPr>
          <w:rFonts w:ascii="Times New Roman" w:eastAsia="仿宋_GB2312" w:hAnsi="仿宋_GB2312" w:hint="eastAsia"/>
          <w:sz w:val="32"/>
          <w:szCs w:val="32"/>
        </w:rPr>
        <w:t>面向社会</w:t>
      </w:r>
      <w:r>
        <w:rPr>
          <w:rFonts w:ascii="Times New Roman" w:eastAsia="仿宋_GB2312" w:hAnsi="仿宋_GB2312"/>
          <w:sz w:val="32"/>
          <w:szCs w:val="32"/>
        </w:rPr>
        <w:t>审核发布重要案件信息</w:t>
      </w:r>
      <w:r>
        <w:rPr>
          <w:rFonts w:ascii="Times New Roman" w:eastAsia="仿宋_GB2312" w:hAnsi="Times New Roman" w:hint="eastAsia"/>
          <w:sz w:val="32"/>
          <w:szCs w:val="32"/>
        </w:rPr>
        <w:t>106</w:t>
      </w:r>
      <w:r>
        <w:rPr>
          <w:rFonts w:ascii="Times New Roman" w:eastAsia="仿宋_GB2312" w:hAnsi="仿宋_GB2312"/>
          <w:sz w:val="32"/>
          <w:szCs w:val="32"/>
        </w:rPr>
        <w:t>件，公开法律文书</w:t>
      </w:r>
      <w:r>
        <w:rPr>
          <w:rFonts w:ascii="Times New Roman" w:eastAsia="仿宋_GB2312" w:hAnsi="Times New Roman" w:hint="eastAsia"/>
          <w:sz w:val="32"/>
          <w:szCs w:val="32"/>
        </w:rPr>
        <w:t>1304</w:t>
      </w:r>
      <w:r>
        <w:rPr>
          <w:rFonts w:ascii="Times New Roman" w:eastAsia="仿宋_GB2312" w:hAnsi="仿宋_GB2312"/>
          <w:sz w:val="32"/>
          <w:szCs w:val="32"/>
        </w:rPr>
        <w:t>份，实时推送案件办理信息</w:t>
      </w:r>
      <w:r>
        <w:rPr>
          <w:rFonts w:ascii="Times New Roman" w:eastAsia="仿宋_GB2312" w:hAnsi="Times New Roman" w:hint="eastAsia"/>
          <w:sz w:val="32"/>
          <w:szCs w:val="32"/>
        </w:rPr>
        <w:t>330</w:t>
      </w:r>
      <w:r>
        <w:rPr>
          <w:rFonts w:ascii="Times New Roman" w:eastAsia="仿宋_GB2312" w:hAnsi="仿宋_GB2312"/>
          <w:sz w:val="32"/>
          <w:szCs w:val="32"/>
        </w:rPr>
        <w:t>条。</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楷体_GB2312"/>
          <w:b/>
          <w:bCs/>
          <w:sz w:val="32"/>
          <w:szCs w:val="32"/>
        </w:rPr>
        <w:t>自觉加强内部监督。</w:t>
      </w:r>
      <w:r>
        <w:rPr>
          <w:rFonts w:ascii="Times New Roman" w:eastAsia="仿宋_GB2312" w:hAnsi="仿宋_GB2312"/>
          <w:sz w:val="32"/>
          <w:szCs w:val="32"/>
        </w:rPr>
        <w:t>围绕司法体制改革后的有序放权和有效监管，进一步完善执法办案流程监控，运用检察业务应用系统对案件实行从入口到出口集中统一管理，及时发现和纠正违规、超期办案情形。建立案件质量评查和检务督察衔接机制，开展检务督察</w:t>
      </w:r>
      <w:r>
        <w:rPr>
          <w:rFonts w:ascii="Times New Roman" w:eastAsia="仿宋_GB2312" w:hAnsi="Times New Roman"/>
          <w:sz w:val="32"/>
          <w:szCs w:val="32"/>
        </w:rPr>
        <w:t>160</w:t>
      </w:r>
      <w:r>
        <w:rPr>
          <w:rFonts w:ascii="Times New Roman" w:eastAsia="仿宋_GB2312" w:hAnsi="仿宋_GB2312"/>
          <w:sz w:val="32"/>
          <w:szCs w:val="32"/>
        </w:rPr>
        <w:t>次，狠抓干预、过问案件</w:t>
      </w:r>
      <w:r>
        <w:rPr>
          <w:rFonts w:ascii="Times New Roman" w:eastAsia="仿宋_GB2312" w:hAnsi="Times New Roman"/>
          <w:sz w:val="32"/>
          <w:szCs w:val="32"/>
        </w:rPr>
        <w:t>“</w:t>
      </w:r>
      <w:r>
        <w:rPr>
          <w:rFonts w:ascii="Times New Roman" w:eastAsia="仿宋_GB2312" w:hAnsi="仿宋_GB2312"/>
          <w:sz w:val="32"/>
          <w:szCs w:val="32"/>
        </w:rPr>
        <w:t>三个规定</w:t>
      </w:r>
      <w:r>
        <w:rPr>
          <w:rFonts w:ascii="Times New Roman" w:eastAsia="仿宋_GB2312" w:hAnsi="Times New Roman"/>
          <w:sz w:val="32"/>
          <w:szCs w:val="32"/>
        </w:rPr>
        <w:t>”</w:t>
      </w:r>
      <w:r>
        <w:rPr>
          <w:rFonts w:ascii="Times New Roman" w:eastAsia="仿宋_GB2312" w:hAnsi="仿宋_GB2312"/>
          <w:sz w:val="32"/>
          <w:szCs w:val="32"/>
        </w:rPr>
        <w:t>落实，促进执法办案规范化走深走实。</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各位代表</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回首过去四年，我们深刻体会到，做好新时代检察工作，必须始终坚持党的绝对领导，才能确保检察工作正确的政治方向；必须始终坚持以人民为中心，才能确保司法为民的属性真正体现；必须始终坚持强化法律监督，才能确保检察工作的价值所在；必须始终坚持全面从严治检，才能确保检察权的依法</w:t>
      </w:r>
      <w:r>
        <w:rPr>
          <w:rFonts w:ascii="Times New Roman" w:eastAsia="仿宋_GB2312" w:hAnsi="Times New Roman"/>
          <w:color w:val="000000" w:themeColor="text1"/>
          <w:sz w:val="32"/>
          <w:szCs w:val="32"/>
        </w:rPr>
        <w:lastRenderedPageBreak/>
        <w:t>公正行使。</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各位代表</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过去的四年，我院各项检察工作稳步推进，成绩的取得是市委和上级检察院正确领导的结果，是市人大及其常委会依法监督的结果，是市政府、政协和社会各界关心帮助以及各部门支持配合的结果。在此，我谨代表霍林郭勒市人民检察院向大家致以崇高的敬意和衷心的感谢！</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bCs/>
          <w:color w:val="000000" w:themeColor="text1"/>
          <w:sz w:val="32"/>
          <w:szCs w:val="32"/>
        </w:rPr>
        <w:t>在总结成绩的同时，我们也清醒地认识到，</w:t>
      </w:r>
      <w:r>
        <w:rPr>
          <w:rFonts w:ascii="Times New Roman" w:eastAsia="仿宋_GB2312" w:hAnsi="仿宋_GB2312"/>
          <w:sz w:val="32"/>
          <w:szCs w:val="32"/>
        </w:rPr>
        <w:t>检察工作与党和人民的新要求新期待仍有一定差距：一是司法理念还需进一步更新，服务保障经济社会高质量发展仍需做细做实；二是法律监督职能发挥还不平衡不充分，监督能力、监督效果仍需着力增强；三是检察队伍专业化水平有待提高，检务保障还需进一步加强；四是绩效考核与司法办案实际紧密结合不够，队伍管理还需进一步抓严抓实。针对上述问题，我们将精准施策、持续发力、奋力改进。</w:t>
      </w:r>
    </w:p>
    <w:p w:rsidR="00930F10" w:rsidRDefault="00930F10" w:rsidP="00930F10">
      <w:pPr>
        <w:pStyle w:val="2"/>
        <w:ind w:left="600" w:firstLine="600"/>
        <w:rPr>
          <w:rFonts w:ascii="Times New Roman" w:hAnsi="Times New Roman"/>
        </w:rPr>
      </w:pP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jc w:val="center"/>
        <w:rPr>
          <w:rFonts w:ascii="Times New Roman" w:eastAsia="黑体" w:hAnsi="Times New Roman"/>
          <w:b/>
          <w:bCs/>
          <w:color w:val="000000" w:themeColor="text1"/>
          <w:sz w:val="32"/>
          <w:szCs w:val="32"/>
        </w:rPr>
      </w:pPr>
      <w:r>
        <w:rPr>
          <w:rFonts w:ascii="Times New Roman" w:eastAsia="黑体" w:hAnsi="Times New Roman"/>
          <w:b/>
          <w:bCs/>
          <w:color w:val="000000" w:themeColor="text1"/>
          <w:sz w:val="32"/>
          <w:szCs w:val="32"/>
        </w:rPr>
        <w:t>2022</w:t>
      </w:r>
      <w:r>
        <w:rPr>
          <w:rFonts w:ascii="Times New Roman" w:eastAsia="黑体" w:hAnsi="黑体"/>
          <w:b/>
          <w:bCs/>
          <w:color w:val="000000" w:themeColor="text1"/>
          <w:sz w:val="32"/>
          <w:szCs w:val="32"/>
        </w:rPr>
        <w:t>年及今后</w:t>
      </w:r>
      <w:r>
        <w:rPr>
          <w:rFonts w:ascii="Times New Roman" w:eastAsia="黑体" w:hAnsi="黑体" w:hint="eastAsia"/>
          <w:b/>
          <w:bCs/>
          <w:color w:val="000000" w:themeColor="text1"/>
          <w:sz w:val="32"/>
          <w:szCs w:val="32"/>
        </w:rPr>
        <w:t>五</w:t>
      </w:r>
      <w:r>
        <w:rPr>
          <w:rFonts w:ascii="Times New Roman" w:eastAsia="黑体" w:hAnsi="黑体"/>
          <w:b/>
          <w:bCs/>
          <w:color w:val="000000" w:themeColor="text1"/>
          <w:sz w:val="32"/>
          <w:szCs w:val="32"/>
        </w:rPr>
        <w:t>年工作思路</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Times New Roman" w:eastAsia="仿宋_GB2312" w:hAnsi="Times New Roman"/>
          <w:color w:val="000000" w:themeColor="text1"/>
          <w:sz w:val="32"/>
          <w:szCs w:val="32"/>
        </w:rPr>
      </w:pP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 w:hAnsi="楷体"/>
          <w:sz w:val="32"/>
          <w:szCs w:val="32"/>
        </w:rPr>
        <w:t>今后一个时期检察工作的总体思路是：</w:t>
      </w:r>
      <w:r>
        <w:rPr>
          <w:rFonts w:ascii="Times New Roman" w:eastAsia="仿宋_GB2312" w:hAnsi="仿宋_GB2312"/>
          <w:sz w:val="32"/>
          <w:szCs w:val="32"/>
        </w:rPr>
        <w:t>坚持以习近平新时代中国特色社会主义思想为指导，深入践行习近平法治思想，全面贯彻《中共中央关于加强新时代检察机关法律监督工作的意见》，认真落实上级党委决策部署</w:t>
      </w:r>
      <w:r>
        <w:rPr>
          <w:rFonts w:ascii="Times New Roman" w:eastAsia="仿宋_GB2312" w:hAnsi="仿宋_GB2312" w:hint="eastAsia"/>
          <w:sz w:val="32"/>
          <w:szCs w:val="32"/>
        </w:rPr>
        <w:t>和上级</w:t>
      </w:r>
      <w:r>
        <w:rPr>
          <w:rFonts w:ascii="Times New Roman" w:eastAsia="仿宋_GB2312" w:hAnsi="仿宋_GB2312"/>
          <w:sz w:val="32"/>
          <w:szCs w:val="32"/>
        </w:rPr>
        <w:t>政法工作会议精神</w:t>
      </w:r>
      <w:r>
        <w:rPr>
          <w:rFonts w:ascii="Times New Roman" w:eastAsia="仿宋_GB2312" w:hAnsi="仿宋_GB2312" w:hint="eastAsia"/>
          <w:sz w:val="32"/>
          <w:szCs w:val="32"/>
        </w:rPr>
        <w:t>，</w:t>
      </w:r>
      <w:r>
        <w:rPr>
          <w:rFonts w:ascii="Times New Roman" w:eastAsia="仿宋_GB2312" w:hAnsi="仿宋_GB2312"/>
          <w:sz w:val="32"/>
          <w:szCs w:val="32"/>
        </w:rPr>
        <w:t>围绕</w:t>
      </w:r>
      <w:r>
        <w:rPr>
          <w:rFonts w:ascii="仿宋_GB2312" w:eastAsia="仿宋_GB2312" w:hAnsi="仿宋_GB2312" w:cs="仿宋_GB2312" w:hint="eastAsia"/>
          <w:sz w:val="32"/>
          <w:szCs w:val="32"/>
        </w:rPr>
        <w:t>“</w:t>
      </w:r>
      <w:r>
        <w:rPr>
          <w:rFonts w:ascii="Times New Roman" w:eastAsia="仿宋_GB2312" w:hAnsi="仿宋_GB2312"/>
          <w:sz w:val="32"/>
          <w:szCs w:val="32"/>
        </w:rPr>
        <w:t>十四五</w:t>
      </w:r>
      <w:r>
        <w:rPr>
          <w:rFonts w:ascii="仿宋_GB2312" w:eastAsia="仿宋_GB2312" w:hAnsi="仿宋_GB2312" w:cs="仿宋_GB2312" w:hint="eastAsia"/>
          <w:sz w:val="32"/>
          <w:szCs w:val="32"/>
        </w:rPr>
        <w:t>”</w:t>
      </w:r>
      <w:r>
        <w:rPr>
          <w:rFonts w:ascii="Times New Roman" w:eastAsia="仿宋_GB2312" w:hAnsi="仿宋_GB2312"/>
          <w:sz w:val="32"/>
          <w:szCs w:val="32"/>
        </w:rPr>
        <w:t>时期检察工作发展规划，以推动高质量发展为主线，以人民满意为根本遵循，以更高站位服务大局，以更强担当履职尽责，为霍林郭勒市</w:t>
      </w:r>
      <w:r>
        <w:rPr>
          <w:rFonts w:ascii="仿宋_GB2312" w:eastAsia="仿宋_GB2312" w:hAnsi="仿宋_GB2312" w:cs="仿宋_GB2312" w:hint="eastAsia"/>
          <w:sz w:val="32"/>
          <w:szCs w:val="32"/>
        </w:rPr>
        <w:t>“</w:t>
      </w:r>
      <w:r>
        <w:rPr>
          <w:rFonts w:ascii="Times New Roman" w:eastAsia="仿宋_GB2312" w:hAnsi="仿宋_GB2312"/>
          <w:sz w:val="32"/>
          <w:szCs w:val="32"/>
        </w:rPr>
        <w:t>十四五</w:t>
      </w:r>
      <w:r>
        <w:rPr>
          <w:rFonts w:ascii="仿宋_GB2312" w:eastAsia="仿宋_GB2312" w:hAnsi="仿宋_GB2312" w:cs="仿宋_GB2312" w:hint="eastAsia"/>
          <w:sz w:val="32"/>
          <w:szCs w:val="32"/>
        </w:rPr>
        <w:t>”</w:t>
      </w:r>
      <w:r>
        <w:rPr>
          <w:rFonts w:ascii="Times New Roman" w:eastAsia="仿宋_GB2312" w:hAnsi="仿宋_GB2312"/>
          <w:sz w:val="32"/>
          <w:szCs w:val="32"/>
        </w:rPr>
        <w:t>发展提供强有力的司法保障。</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 w:hAnsi="楷体"/>
          <w:sz w:val="32"/>
          <w:szCs w:val="32"/>
        </w:rPr>
        <w:lastRenderedPageBreak/>
        <w:t>持续稳进，切实增强服务高质量发展的政治自觉。</w:t>
      </w:r>
      <w:r>
        <w:rPr>
          <w:rFonts w:ascii="Times New Roman" w:eastAsia="仿宋_GB2312" w:hAnsi="仿宋_GB2312"/>
          <w:sz w:val="32"/>
          <w:szCs w:val="32"/>
        </w:rPr>
        <w:t>主动立足把握新发展阶段、贯彻新发展理念、构建新发展格局，聚焦</w:t>
      </w:r>
      <w:r>
        <w:rPr>
          <w:rFonts w:ascii="仿宋_GB2312" w:eastAsia="仿宋_GB2312" w:hAnsi="仿宋_GB2312" w:cs="仿宋_GB2312" w:hint="eastAsia"/>
          <w:sz w:val="32"/>
          <w:szCs w:val="32"/>
        </w:rPr>
        <w:t>“</w:t>
      </w:r>
      <w:r>
        <w:rPr>
          <w:rFonts w:ascii="Times New Roman" w:eastAsia="仿宋_GB2312" w:hAnsi="仿宋_GB2312"/>
          <w:sz w:val="32"/>
          <w:szCs w:val="32"/>
        </w:rPr>
        <w:t>十四五</w:t>
      </w:r>
      <w:r>
        <w:rPr>
          <w:rFonts w:ascii="仿宋_GB2312" w:eastAsia="仿宋_GB2312" w:hAnsi="仿宋_GB2312" w:cs="仿宋_GB2312" w:hint="eastAsia"/>
          <w:sz w:val="32"/>
          <w:szCs w:val="32"/>
        </w:rPr>
        <w:t>”</w:t>
      </w:r>
      <w:r>
        <w:rPr>
          <w:rFonts w:ascii="Times New Roman" w:eastAsia="仿宋_GB2312" w:hAnsi="仿宋_GB2312"/>
          <w:sz w:val="32"/>
          <w:szCs w:val="32"/>
        </w:rPr>
        <w:t>时期经济社会发展目标任务，找准检察服务的着力点。针对影响社会安定、人民安宁的突出问题，惩治严重暴力犯罪、经济金融犯罪、网络犯罪</w:t>
      </w:r>
      <w:r>
        <w:rPr>
          <w:rFonts w:ascii="Times New Roman" w:eastAsia="仿宋_GB2312" w:hAnsi="仿宋_GB2312" w:hint="eastAsia"/>
          <w:sz w:val="32"/>
          <w:szCs w:val="32"/>
        </w:rPr>
        <w:t>等</w:t>
      </w:r>
      <w:r>
        <w:rPr>
          <w:rFonts w:ascii="Times New Roman" w:eastAsia="仿宋_GB2312" w:hAnsi="仿宋_GB2312"/>
          <w:sz w:val="32"/>
          <w:szCs w:val="32"/>
        </w:rPr>
        <w:t>。综合运用检察职能，服务常态化疫情防控。进一步优化法治营商环境，融入平安霍林郭勒建设、助力巩固拓展脱贫攻坚成果同乡村振兴有效衔接。</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 w:hAnsi="楷体"/>
          <w:sz w:val="32"/>
          <w:szCs w:val="32"/>
        </w:rPr>
        <w:t>狠抓落实，切实增强融入全面依法治国的法治自觉。</w:t>
      </w:r>
      <w:r>
        <w:rPr>
          <w:rFonts w:ascii="Times New Roman" w:eastAsia="仿宋_GB2312" w:hAnsi="仿宋_GB2312"/>
          <w:sz w:val="32"/>
          <w:szCs w:val="32"/>
        </w:rPr>
        <w:t>深化落实少捕慎诉慎押司法理念，提升认罪认罚从宽案件办理质效，推动非羁押强制措施适用。探索健全虚假诉讼防范、发现和惩治机制。坚持提质效、拓领域，创新公益诉讼检察办案机制。宣传、落实未成年人保护法律规定，对涉及未成年人的诉讼活动、未成年人犯罪预防等工作开展法律监督，做实检察官担任法治副校长工作。常态化开展行政争议实质性化解，促进案结事了政和。持续深化控告申诉检察工作，用好检察听证，做到案结事了人和。</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Times New Roman" w:eastAsia="仿宋_GB2312" w:hAnsi="Times New Roman"/>
          <w:sz w:val="32"/>
          <w:szCs w:val="32"/>
        </w:rPr>
      </w:pPr>
      <w:r>
        <w:rPr>
          <w:rFonts w:ascii="Times New Roman" w:eastAsia="楷体" w:hAnsi="楷体"/>
          <w:sz w:val="32"/>
          <w:szCs w:val="32"/>
        </w:rPr>
        <w:t>努力提升，切实增强实现自身高质量发展的检察自觉</w:t>
      </w:r>
      <w:r>
        <w:rPr>
          <w:rFonts w:ascii="Times New Roman" w:eastAsia="仿宋_GB2312" w:hAnsi="仿宋_GB2312"/>
          <w:sz w:val="32"/>
          <w:szCs w:val="32"/>
        </w:rPr>
        <w:t>。深入开展习近平法治思想学习实践活动。细化《中共中央关于加强新时代检察机关法律监督工作的意见》落实举措。深化司法责任制综合配套改革，落实检察官员额动态管理。强化素质能力建设，推动检察官与法官、警察、律师等同堂培训，促进法律职业共同体形成共同法治理念。持续优化智慧检务建设，加强大数据、人工智能等新技术应用，提升办案质效。深化政法队伍教育整顿成果，落实全面从严治党治检主体责任，坚定不移正风肃纪反腐，坚决整治顽瘴痼疾，清除害群之马，打造对党忠诚、服务人民、</w:t>
      </w:r>
      <w:r>
        <w:rPr>
          <w:rFonts w:ascii="Times New Roman" w:eastAsia="仿宋_GB2312" w:hAnsi="仿宋_GB2312"/>
          <w:sz w:val="32"/>
          <w:szCs w:val="32"/>
        </w:rPr>
        <w:lastRenderedPageBreak/>
        <w:t>司法公正、纪律严明的检察铁军。</w:t>
      </w:r>
    </w:p>
    <w:p w:rsidR="00930F10" w:rsidRDefault="00930F10" w:rsidP="00930F10">
      <w:pPr>
        <w:pBdr>
          <w:bottom w:val="single" w:sz="4" w:space="18" w:color="FFFFFF"/>
        </w:pBdr>
        <w:shd w:val="clear" w:color="auto" w:fill="FFFFFF" w:themeFill="background1"/>
        <w:tabs>
          <w:tab w:val="left" w:pos="7380"/>
        </w:tabs>
        <w:autoSpaceDE w:val="0"/>
        <w:adjustRightInd w:val="0"/>
        <w:snapToGrid w:val="0"/>
        <w:spacing w:line="560" w:lineRule="exact"/>
        <w:ind w:firstLineChars="200" w:firstLine="640"/>
        <w:rPr>
          <w:rFonts w:ascii="Times New Roman" w:eastAsia="仿宋_GB2312" w:hAnsi="仿宋_GB2312"/>
          <w:sz w:val="32"/>
          <w:szCs w:val="32"/>
        </w:rPr>
      </w:pPr>
      <w:r>
        <w:rPr>
          <w:rFonts w:ascii="Times New Roman" w:eastAsia="仿宋_GB2312" w:hAnsi="仿宋_GB2312"/>
          <w:sz w:val="32"/>
          <w:szCs w:val="32"/>
        </w:rPr>
        <w:t>各位代表！迈向</w:t>
      </w:r>
      <w:r>
        <w:rPr>
          <w:rFonts w:ascii="仿宋_GB2312" w:eastAsia="仿宋_GB2312" w:hAnsi="仿宋_GB2312" w:cs="仿宋_GB2312" w:hint="eastAsia"/>
          <w:sz w:val="32"/>
          <w:szCs w:val="32"/>
        </w:rPr>
        <w:t>“</w:t>
      </w:r>
      <w:r>
        <w:rPr>
          <w:rFonts w:ascii="Times New Roman" w:eastAsia="仿宋_GB2312" w:hAnsi="仿宋_GB2312"/>
          <w:sz w:val="32"/>
          <w:szCs w:val="32"/>
        </w:rPr>
        <w:t>十四五</w:t>
      </w:r>
      <w:r>
        <w:rPr>
          <w:rFonts w:ascii="仿宋_GB2312" w:eastAsia="仿宋_GB2312" w:hAnsi="仿宋_GB2312" w:cs="仿宋_GB2312" w:hint="eastAsia"/>
          <w:sz w:val="32"/>
          <w:szCs w:val="32"/>
        </w:rPr>
        <w:t>”</w:t>
      </w:r>
      <w:r>
        <w:rPr>
          <w:rFonts w:ascii="Times New Roman" w:eastAsia="仿宋_GB2312" w:hAnsi="仿宋_GB2312"/>
          <w:sz w:val="32"/>
          <w:szCs w:val="32"/>
        </w:rPr>
        <w:t>，奋进新征程。站在新的历史起点，我们将在市委和上级检察院的坚强领导下，全面落实本次大会决议，以直面挑战的勇气、敢于担当的精神、奋发有为的干劲、务实管用的举措，不断开创检察工作新局面，为建设幸福美好的霍林郭勒做出新的更大</w:t>
      </w:r>
      <w:r>
        <w:rPr>
          <w:rFonts w:ascii="Times New Roman" w:eastAsia="仿宋_GB2312" w:hAnsi="仿宋_GB2312" w:hint="eastAsia"/>
          <w:sz w:val="32"/>
          <w:szCs w:val="32"/>
        </w:rPr>
        <w:t>的</w:t>
      </w:r>
      <w:r>
        <w:rPr>
          <w:rFonts w:ascii="Times New Roman" w:eastAsia="仿宋_GB2312" w:hAnsi="仿宋_GB2312"/>
          <w:sz w:val="32"/>
          <w:szCs w:val="32"/>
        </w:rPr>
        <w:t>贡献！</w:t>
      </w:r>
    </w:p>
    <w:p w:rsidR="00930F10" w:rsidRDefault="00930F10" w:rsidP="00930F10">
      <w:pPr>
        <w:pStyle w:val="2"/>
        <w:ind w:left="600" w:firstLine="600"/>
      </w:pPr>
    </w:p>
    <w:p w:rsidR="00930F10" w:rsidRDefault="00930F10" w:rsidP="00930F10"/>
    <w:p w:rsidR="00930F10" w:rsidRDefault="00930F10" w:rsidP="00930F10">
      <w:pPr>
        <w:pStyle w:val="2"/>
        <w:ind w:left="600" w:firstLine="600"/>
      </w:pPr>
    </w:p>
    <w:p w:rsidR="00930F10" w:rsidRDefault="00930F10" w:rsidP="00930F10"/>
    <w:p w:rsidR="00930F10" w:rsidRDefault="00930F10" w:rsidP="00930F10">
      <w:pPr>
        <w:pStyle w:val="2"/>
        <w:ind w:left="600" w:firstLine="600"/>
      </w:pPr>
    </w:p>
    <w:p w:rsidR="00930F10" w:rsidRDefault="00930F10" w:rsidP="00930F10"/>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Fonts w:ascii="Times New Roman" w:eastAsia="黑体" w:hAnsi="Times New Roman"/>
          <w:sz w:val="44"/>
          <w:szCs w:val="44"/>
        </w:rPr>
      </w:pPr>
      <w:r>
        <w:rPr>
          <w:rStyle w:val="NormalCharacter"/>
          <w:rFonts w:ascii="Times New Roman" w:eastAsia="黑体" w:hAnsi="Times New Roman"/>
          <w:kern w:val="0"/>
          <w:szCs w:val="30"/>
        </w:rPr>
        <w:lastRenderedPageBreak/>
        <w:t>附件</w:t>
      </w:r>
      <w:r>
        <w:rPr>
          <w:rStyle w:val="NormalCharacter"/>
          <w:rFonts w:ascii="Times New Roman" w:eastAsia="黑体" w:hAnsi="Times New Roman"/>
          <w:kern w:val="0"/>
          <w:szCs w:val="30"/>
        </w:rPr>
        <w:t>1</w:t>
      </w:r>
      <w:r>
        <w:rPr>
          <w:rStyle w:val="NormalCharacter"/>
          <w:rFonts w:ascii="Times New Roman" w:eastAsia="黑体" w:hAnsi="Times New Roman"/>
          <w:kern w:val="0"/>
          <w:szCs w:val="30"/>
        </w:rPr>
        <w:t>：</w:t>
      </w:r>
    </w:p>
    <w:p w:rsidR="00930F10" w:rsidRDefault="00930F10" w:rsidP="00930F10">
      <w:pPr>
        <w:overflowPunct w:val="0"/>
        <w:spacing w:line="600" w:lineRule="exact"/>
        <w:jc w:val="center"/>
        <w:textAlignment w:val="baseline"/>
        <w:rPr>
          <w:rFonts w:ascii="方正小标宋_GBK" w:eastAsia="方正小标宋_GBK" w:hAnsi="方正小标宋_GBK" w:cs="方正小标宋_GBK"/>
          <w:sz w:val="44"/>
          <w:szCs w:val="44"/>
        </w:rPr>
      </w:pPr>
    </w:p>
    <w:p w:rsidR="00930F10" w:rsidRDefault="00930F10" w:rsidP="00930F10">
      <w:pPr>
        <w:overflowPunct w:val="0"/>
        <w:spacing w:line="600" w:lineRule="exact"/>
        <w:jc w:val="center"/>
        <w:textAlignment w:val="baseline"/>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报告有关用语说明</w:t>
      </w:r>
    </w:p>
    <w:p w:rsidR="00930F10" w:rsidRDefault="00930F10" w:rsidP="00930F10">
      <w:pPr>
        <w:overflowPunct w:val="0"/>
        <w:spacing w:line="600" w:lineRule="exact"/>
        <w:textAlignment w:val="baseline"/>
        <w:rPr>
          <w:rFonts w:ascii="楷体" w:eastAsia="楷体" w:hAnsi="楷体" w:cs="楷体"/>
          <w:b/>
          <w:bCs/>
          <w:sz w:val="32"/>
          <w:szCs w:val="32"/>
        </w:rPr>
      </w:pPr>
    </w:p>
    <w:p w:rsidR="00930F10" w:rsidRDefault="00930F10" w:rsidP="00930F10">
      <w:pPr>
        <w:overflowPunct w:val="0"/>
        <w:spacing w:line="560" w:lineRule="exact"/>
        <w:ind w:firstLineChars="200" w:firstLine="643"/>
        <w:textAlignment w:val="baseline"/>
        <w:rPr>
          <w:rFonts w:ascii="仿宋_GB2312" w:eastAsia="仿宋_GB2312" w:hAnsi="楷体" w:cs="楷体"/>
          <w:sz w:val="32"/>
          <w:szCs w:val="32"/>
        </w:rPr>
      </w:pPr>
      <w:r>
        <w:rPr>
          <w:rFonts w:ascii="楷体" w:eastAsia="楷体" w:hAnsi="楷体" w:cs="楷体" w:hint="eastAsia"/>
          <w:b/>
          <w:bCs/>
          <w:sz w:val="32"/>
          <w:szCs w:val="32"/>
        </w:rPr>
        <w:t>扫黑除恶专项斗争：</w:t>
      </w:r>
      <w:r>
        <w:rPr>
          <w:rFonts w:ascii="仿宋_GB2312" w:eastAsia="仿宋_GB2312" w:hAnsi="Times New Roman" w:hint="eastAsia"/>
          <w:sz w:val="32"/>
          <w:szCs w:val="32"/>
        </w:rPr>
        <w:t>2018年1月，中共</w:t>
      </w:r>
      <w:r>
        <w:rPr>
          <w:rFonts w:ascii="仿宋_GB2312" w:eastAsia="仿宋_GB2312" w:hAnsi="楷体" w:cs="楷体" w:hint="eastAsia"/>
          <w:sz w:val="32"/>
          <w:szCs w:val="32"/>
        </w:rPr>
        <w:t>中央、国务院下发《关于开展扫黑除恶专项斗争的通知》，在全国开展为期三年的扫黑除恶专项斗争，对群众反映强烈、问题比较突出的地区、行业和领域，采取强有力的措施，依法进行重点整治，同时将扫黑除恶与反腐败、基层组织建设结合起来，彻底铲除黑恶势力滋生土壤。</w:t>
      </w:r>
    </w:p>
    <w:p w:rsidR="00930F10" w:rsidRDefault="00930F10" w:rsidP="00930F10">
      <w:pPr>
        <w:pStyle w:val="a6"/>
        <w:overflowPunct w:val="0"/>
        <w:spacing w:line="560" w:lineRule="exact"/>
        <w:ind w:firstLineChars="200" w:firstLine="643"/>
        <w:jc w:val="both"/>
        <w:textAlignment w:val="baseline"/>
        <w:rPr>
          <w:rFonts w:ascii="仿宋_GB2312" w:eastAsia="仿宋_GB2312" w:hAnsi="楷体" w:cs="楷体"/>
          <w:sz w:val="32"/>
          <w:szCs w:val="32"/>
          <w:shd w:val="clear" w:color="auto" w:fill="FFFFFF"/>
          <w:lang w:eastAsia="zh-CN"/>
        </w:rPr>
      </w:pPr>
      <w:r>
        <w:rPr>
          <w:rFonts w:ascii="楷体" w:eastAsia="楷体" w:hAnsi="楷体" w:cs="楷体" w:hint="eastAsia"/>
          <w:b/>
          <w:bCs/>
          <w:kern w:val="2"/>
          <w:sz w:val="32"/>
          <w:szCs w:val="32"/>
          <w:lang w:eastAsia="zh-CN"/>
        </w:rPr>
        <w:t>重大案件侦查终结前讯问合法性核查：</w:t>
      </w:r>
      <w:r>
        <w:rPr>
          <w:rFonts w:ascii="仿宋_GB2312" w:eastAsia="仿宋_GB2312" w:hAnsi="楷体" w:cs="楷体" w:hint="eastAsia"/>
          <w:sz w:val="32"/>
          <w:szCs w:val="32"/>
          <w:shd w:val="clear" w:color="auto" w:fill="FFFFFF"/>
          <w:lang w:eastAsia="zh-CN"/>
        </w:rPr>
        <w:t>是指对于可能判处无期徒刑、死刑的案件或者其他重大案件，人民检察院在侦查终结前对讯问合法性进行核查。</w:t>
      </w:r>
    </w:p>
    <w:p w:rsidR="00930F10" w:rsidRDefault="00930F10" w:rsidP="00930F10">
      <w:pPr>
        <w:overflowPunct w:val="0"/>
        <w:spacing w:line="560" w:lineRule="exact"/>
        <w:ind w:firstLineChars="200" w:firstLine="643"/>
        <w:textAlignment w:val="baseline"/>
        <w:rPr>
          <w:rFonts w:ascii="仿宋_GB2312" w:eastAsia="仿宋_GB2312" w:hAnsi="楷体" w:cs="楷体"/>
          <w:sz w:val="32"/>
          <w:szCs w:val="32"/>
        </w:rPr>
      </w:pPr>
      <w:r>
        <w:rPr>
          <w:rFonts w:ascii="楷体" w:eastAsia="楷体" w:hAnsi="楷体" w:cs="楷体" w:hint="eastAsia"/>
          <w:b/>
          <w:bCs/>
          <w:sz w:val="32"/>
          <w:szCs w:val="32"/>
        </w:rPr>
        <w:t>认罪认罚从宽制度：</w:t>
      </w:r>
      <w:r>
        <w:rPr>
          <w:rFonts w:ascii="仿宋_GB2312" w:eastAsia="仿宋_GB2312" w:hAnsi="楷体" w:cs="楷体" w:hint="eastAsia"/>
          <w:sz w:val="32"/>
          <w:szCs w:val="32"/>
        </w:rPr>
        <w:t>是指刑事诉讼过程中，犯罪嫌疑人、被告人自愿如实供述自己的罪行，对指控的犯罪事实没有异议，真诚悔罪，同意检察机关的量刑意见并签署具结书的案件，可以依法从宽处理的刑事诉讼制度。</w:t>
      </w:r>
    </w:p>
    <w:p w:rsidR="00930F10" w:rsidRDefault="00930F10" w:rsidP="00930F10">
      <w:pPr>
        <w:spacing w:line="560" w:lineRule="exact"/>
        <w:ind w:firstLineChars="200" w:firstLine="643"/>
        <w:rPr>
          <w:rFonts w:ascii="仿宋_GB2312" w:eastAsia="仿宋_GB2312" w:hAnsi="楷体" w:cs="楷体"/>
          <w:kern w:val="0"/>
          <w:sz w:val="32"/>
          <w:szCs w:val="32"/>
          <w:shd w:val="clear" w:color="auto" w:fill="FFFFFF"/>
        </w:rPr>
      </w:pPr>
      <w:r>
        <w:rPr>
          <w:rFonts w:ascii="楷体" w:eastAsia="楷体" w:hAnsi="楷体" w:cs="楷体" w:hint="eastAsia"/>
          <w:b/>
          <w:bCs/>
          <w:sz w:val="32"/>
          <w:szCs w:val="32"/>
        </w:rPr>
        <w:t>行政争议实质性化解：</w:t>
      </w:r>
      <w:r>
        <w:rPr>
          <w:rFonts w:ascii="仿宋_GB2312" w:eastAsia="仿宋_GB2312" w:hAnsi="楷体" w:cs="楷体" w:hint="eastAsia"/>
          <w:kern w:val="0"/>
          <w:sz w:val="32"/>
          <w:szCs w:val="32"/>
          <w:shd w:val="clear" w:color="auto" w:fill="FFFFFF"/>
        </w:rPr>
        <w:t>是指检察机关对正在办理的行政诉讼监督案件和受理的行政申诉案件，以及作出不支持监督申请决定后，当事人仍向检察机关申诉的案件，采取提出抗诉、再审检察建议、跟进监督、向行政机关提出改进工作的检察建议、国家司法救助等方式，促进行政争议实质性的化解。</w:t>
      </w:r>
    </w:p>
    <w:p w:rsidR="00930F10" w:rsidRDefault="00930F10" w:rsidP="00930F10">
      <w:pPr>
        <w:keepNext/>
        <w:spacing w:line="560" w:lineRule="exact"/>
        <w:ind w:firstLineChars="200" w:firstLine="643"/>
        <w:rPr>
          <w:rFonts w:ascii="仿宋_GB2312" w:eastAsia="仿宋_GB2312" w:hAnsi="楷体" w:cs="楷体"/>
          <w:sz w:val="32"/>
          <w:szCs w:val="32"/>
        </w:rPr>
      </w:pPr>
      <w:r>
        <w:rPr>
          <w:rFonts w:ascii="楷体" w:eastAsia="楷体" w:hAnsi="楷体" w:cs="楷体" w:hint="eastAsia"/>
          <w:b/>
          <w:bCs/>
          <w:sz w:val="32"/>
          <w:szCs w:val="32"/>
        </w:rPr>
        <w:t>虚假诉讼：</w:t>
      </w:r>
      <w:r>
        <w:rPr>
          <w:rFonts w:ascii="Times New Roman" w:eastAsia="仿宋_GB2312"/>
          <w:sz w:val="32"/>
          <w:szCs w:val="32"/>
          <w:shd w:val="clear" w:color="auto" w:fill="FFFFFF"/>
        </w:rPr>
        <w:t>当事人单方或者他人恶意串通，采取伪造证据、虚假陈述等手段，以捏造的事实提起诉讼，使法院作出错误的判决、裁定、调解，以实现侵害国家利益、社会公共利益或他人合</w:t>
      </w:r>
      <w:r>
        <w:rPr>
          <w:rFonts w:ascii="Times New Roman" w:eastAsia="仿宋_GB2312"/>
          <w:sz w:val="32"/>
          <w:szCs w:val="32"/>
          <w:shd w:val="clear" w:color="auto" w:fill="FFFFFF"/>
        </w:rPr>
        <w:lastRenderedPageBreak/>
        <w:t>法权益的目的</w:t>
      </w:r>
      <w:r>
        <w:rPr>
          <w:rFonts w:ascii="仿宋_GB2312" w:eastAsia="仿宋_GB2312" w:hAnsi="楷体" w:cs="楷体" w:hint="eastAsia"/>
          <w:sz w:val="32"/>
          <w:szCs w:val="32"/>
        </w:rPr>
        <w:t>。</w:t>
      </w:r>
    </w:p>
    <w:p w:rsidR="00930F10" w:rsidRDefault="00930F10" w:rsidP="00930F10">
      <w:pPr>
        <w:spacing w:line="560" w:lineRule="exact"/>
        <w:ind w:firstLineChars="200" w:firstLine="643"/>
        <w:rPr>
          <w:rFonts w:ascii="仿宋_GB2312" w:eastAsia="仿宋_GB2312" w:hAnsi="楷体" w:cs="楷体"/>
          <w:kern w:val="0"/>
          <w:sz w:val="32"/>
          <w:szCs w:val="32"/>
          <w:shd w:val="clear" w:color="auto" w:fill="FFFFFF"/>
        </w:rPr>
      </w:pPr>
      <w:r>
        <w:rPr>
          <w:rFonts w:ascii="楷体" w:eastAsia="楷体" w:hAnsi="楷体" w:cs="楷体" w:hint="eastAsia"/>
          <w:b/>
          <w:bCs/>
          <w:sz w:val="32"/>
          <w:szCs w:val="32"/>
        </w:rPr>
        <w:t>公益诉讼：</w:t>
      </w:r>
      <w:r>
        <w:rPr>
          <w:rFonts w:ascii="仿宋_GB2312" w:eastAsia="仿宋_GB2312" w:hAnsi="楷体" w:cs="楷体" w:hint="eastAsia"/>
          <w:kern w:val="0"/>
          <w:sz w:val="32"/>
          <w:szCs w:val="32"/>
          <w:shd w:val="clear" w:color="auto" w:fill="FFFFFF"/>
        </w:rPr>
        <w:t>检察机关在履行职责中发现污染环境、食品药品安全等损害社会公共利益的行为，在没有适格主体或者适格主体不提起诉讼的情况下，可以向人民法院提起民事公益诉讼。检察机关在履行职责中发现生态环境和资源保护、国有资产保护、国有土地使用权出让等领域负有监督管理职责的行政机关违法行使职权或者不作为，造成国家和社会公共利益受到侵害，公民、法人和其他社会组织由于没有直接利害关系，没有也无法提起诉讼的，可以向人民法院提起行政公益诉讼。</w:t>
      </w:r>
    </w:p>
    <w:p w:rsidR="00930F10" w:rsidRDefault="00930F10" w:rsidP="00930F10">
      <w:pPr>
        <w:spacing w:line="560" w:lineRule="exact"/>
        <w:ind w:firstLineChars="200" w:firstLine="643"/>
        <w:rPr>
          <w:rFonts w:ascii="仿宋_GB2312" w:eastAsia="仿宋_GB2312" w:hAnsi="楷体" w:cs="楷体"/>
          <w:kern w:val="0"/>
          <w:sz w:val="32"/>
          <w:szCs w:val="32"/>
          <w:shd w:val="clear" w:color="auto" w:fill="FFFFFF"/>
        </w:rPr>
      </w:pPr>
      <w:r>
        <w:rPr>
          <w:rFonts w:ascii="楷体" w:eastAsia="楷体" w:hAnsi="楷体" w:cs="楷体" w:hint="eastAsia"/>
          <w:b/>
          <w:bCs/>
          <w:sz w:val="32"/>
          <w:szCs w:val="32"/>
        </w:rPr>
        <w:t>朵兰·未检：</w:t>
      </w:r>
      <w:r>
        <w:rPr>
          <w:rFonts w:ascii="仿宋_GB2312" w:eastAsia="仿宋_GB2312" w:hAnsi="楷体" w:cs="楷体" w:hint="eastAsia"/>
          <w:kern w:val="0"/>
          <w:sz w:val="32"/>
          <w:szCs w:val="32"/>
          <w:shd w:val="clear" w:color="auto" w:fill="FFFFFF"/>
        </w:rPr>
        <w:t>“朵兰”是蒙古语音译词，意为温暖与爱，汉语语境下寓意为祖国的花朵在法治的蓝天下健康茁壮成长。开展法治进校园“十百千万工程”，即由通辽市检察院牵头组织市级有关部门和九个旗县区组成10个宣讲团，培养100名优秀宣讲员，三年内进入千所学校，让万名学生接受全面的法治教育。</w:t>
      </w:r>
    </w:p>
    <w:p w:rsidR="00930F10" w:rsidRDefault="00930F10" w:rsidP="00930F10">
      <w:pPr>
        <w:spacing w:line="560" w:lineRule="exact"/>
        <w:ind w:firstLineChars="200" w:firstLine="643"/>
        <w:rPr>
          <w:rFonts w:ascii="仿宋_GB2312" w:eastAsia="仿宋_GB2312" w:hAnsi="楷体" w:cs="楷体"/>
          <w:sz w:val="32"/>
          <w:szCs w:val="32"/>
          <w:shd w:val="clear" w:color="auto" w:fill="FFFFFF"/>
        </w:rPr>
      </w:pPr>
      <w:r>
        <w:rPr>
          <w:rFonts w:ascii="楷体" w:eastAsia="楷体" w:hAnsi="楷体" w:cs="楷体" w:hint="eastAsia"/>
          <w:b/>
          <w:bCs/>
          <w:sz w:val="32"/>
          <w:szCs w:val="32"/>
        </w:rPr>
        <w:t>一号检察建议：</w:t>
      </w:r>
      <w:r>
        <w:rPr>
          <w:rFonts w:ascii="仿宋_GB2312" w:eastAsia="仿宋_GB2312" w:hAnsi="Times New Roman" w:hint="eastAsia"/>
          <w:sz w:val="32"/>
          <w:szCs w:val="32"/>
          <w:shd w:val="clear" w:color="auto" w:fill="FFFFFF"/>
        </w:rPr>
        <w:t>2018年10月，</w:t>
      </w:r>
      <w:r>
        <w:rPr>
          <w:rFonts w:ascii="仿宋_GB2312" w:eastAsia="仿宋_GB2312" w:hAnsi="楷体" w:cs="楷体" w:hint="eastAsia"/>
          <w:sz w:val="32"/>
          <w:szCs w:val="32"/>
          <w:shd w:val="clear" w:color="auto" w:fill="FFFFFF"/>
        </w:rPr>
        <w:t>最高人民检察院向教育部发出《中华人民共和国最高人民检察院检察建议书》，建议积极推动幼儿园、中小学校园安全建设，有效预防和减少教职员工性侵害幼儿园儿童、中小学学生违法犯罪发生。</w:t>
      </w:r>
    </w:p>
    <w:p w:rsidR="00930F10" w:rsidRDefault="00930F10" w:rsidP="00930F10">
      <w:pPr>
        <w:spacing w:line="560" w:lineRule="exact"/>
        <w:ind w:firstLineChars="200" w:firstLine="643"/>
        <w:rPr>
          <w:rFonts w:ascii="仿宋_GB2312" w:eastAsia="仿宋_GB2312" w:hAnsi="楷体" w:cs="楷体"/>
          <w:spacing w:val="-4"/>
          <w:sz w:val="32"/>
          <w:szCs w:val="32"/>
        </w:rPr>
      </w:pPr>
      <w:r>
        <w:rPr>
          <w:rFonts w:ascii="楷体" w:eastAsia="楷体" w:hAnsi="楷体" w:cs="楷体" w:hint="eastAsia"/>
          <w:b/>
          <w:bCs/>
          <w:sz w:val="32"/>
          <w:szCs w:val="32"/>
        </w:rPr>
        <w:t>转隶：</w:t>
      </w:r>
      <w:r>
        <w:rPr>
          <w:rFonts w:ascii="仿宋_GB2312" w:eastAsia="仿宋_GB2312" w:hAnsi="楷体" w:cs="楷体" w:hint="eastAsia"/>
          <w:sz w:val="32"/>
          <w:szCs w:val="32"/>
        </w:rPr>
        <w:t>根据党的十九大全面推开国家监察体制改革试点的部署，成立国家监察委员会和地方各级监察委员会，检察机关反贪、反</w:t>
      </w:r>
      <w:r>
        <w:rPr>
          <w:rFonts w:ascii="仿宋_GB2312" w:eastAsia="仿宋_GB2312" w:hAnsi="楷体" w:cs="楷体" w:hint="eastAsia"/>
          <w:spacing w:val="-4"/>
          <w:sz w:val="32"/>
          <w:szCs w:val="32"/>
        </w:rPr>
        <w:t>渎、职务犯罪预防三个部门的职能、机构、人员全部转隶到监察委员会。</w:t>
      </w:r>
    </w:p>
    <w:p w:rsidR="00930F10" w:rsidRDefault="00930F10" w:rsidP="00930F10">
      <w:pPr>
        <w:spacing w:line="560" w:lineRule="exact"/>
        <w:ind w:firstLineChars="200" w:firstLine="643"/>
        <w:rPr>
          <w:rFonts w:ascii="仿宋_GB2312" w:eastAsia="仿宋_GB2312" w:hAnsi="楷体" w:cs="楷体"/>
          <w:kern w:val="44"/>
          <w:sz w:val="32"/>
          <w:szCs w:val="32"/>
        </w:rPr>
      </w:pPr>
      <w:r>
        <w:rPr>
          <w:rFonts w:ascii="楷体" w:eastAsia="楷体" w:hAnsi="楷体" w:cs="楷体" w:hint="eastAsia"/>
          <w:b/>
          <w:bCs/>
          <w:sz w:val="32"/>
          <w:szCs w:val="32"/>
        </w:rPr>
        <w:t>捕诉一体：</w:t>
      </w:r>
      <w:r>
        <w:rPr>
          <w:rFonts w:ascii="仿宋_GB2312" w:eastAsia="仿宋_GB2312" w:hAnsi="楷体" w:cs="楷体" w:hint="eastAsia"/>
          <w:kern w:val="44"/>
          <w:sz w:val="32"/>
          <w:szCs w:val="32"/>
        </w:rPr>
        <w:t>指公安机关移送的刑事案件，由承办案件的检察官在法定权限范围内完成案件审查批捕、起诉、出庭公诉，履行</w:t>
      </w:r>
      <w:r>
        <w:rPr>
          <w:rFonts w:ascii="仿宋_GB2312" w:eastAsia="仿宋_GB2312" w:hAnsi="楷体" w:cs="楷体" w:hint="eastAsia"/>
          <w:kern w:val="44"/>
          <w:sz w:val="32"/>
          <w:szCs w:val="32"/>
        </w:rPr>
        <w:lastRenderedPageBreak/>
        <w:t>立案监督、侦查监督、审判监督职责的一种新型办案机制。</w:t>
      </w:r>
    </w:p>
    <w:p w:rsidR="00930F10" w:rsidRDefault="00930F10" w:rsidP="00930F10">
      <w:pPr>
        <w:spacing w:line="560" w:lineRule="exact"/>
        <w:ind w:firstLineChars="200" w:firstLine="643"/>
        <w:rPr>
          <w:rFonts w:ascii="仿宋_GB2312" w:eastAsia="仿宋_GB2312" w:hAnsi="楷体" w:cs="楷体"/>
          <w:kern w:val="44"/>
          <w:sz w:val="32"/>
          <w:szCs w:val="32"/>
        </w:rPr>
      </w:pPr>
      <w:r>
        <w:rPr>
          <w:rFonts w:ascii="楷体" w:eastAsia="楷体" w:hAnsi="楷体" w:cs="楷体" w:hint="eastAsia"/>
          <w:b/>
          <w:bCs/>
          <w:sz w:val="32"/>
          <w:szCs w:val="32"/>
        </w:rPr>
        <w:t>案-件比</w:t>
      </w:r>
      <w:r>
        <w:rPr>
          <w:rFonts w:ascii="仿宋_GB2312" w:eastAsia="仿宋_GB2312" w:hAnsi="楷体" w:cs="楷体" w:hint="eastAsia"/>
          <w:b/>
          <w:bCs/>
          <w:sz w:val="32"/>
          <w:szCs w:val="32"/>
        </w:rPr>
        <w:t>：</w:t>
      </w:r>
      <w:r>
        <w:rPr>
          <w:rFonts w:ascii="仿宋_GB2312" w:eastAsia="仿宋_GB2312" w:hAnsi="楷体" w:cs="楷体" w:hint="eastAsia"/>
          <w:kern w:val="44"/>
          <w:sz w:val="32"/>
          <w:szCs w:val="32"/>
        </w:rPr>
        <w:t>最高人民检察院提出的全新办案质量评价指标体系，是检察机关办案质量与办案效率最直接的反映，“案-件比”指数是一个反向指标，“件”数越低，表明案子经历的诉讼环节越少，诉讼进程越流畅，质量越高。</w:t>
      </w:r>
    </w:p>
    <w:p w:rsidR="00930F10" w:rsidRDefault="00930F10" w:rsidP="00930F10">
      <w:pPr>
        <w:spacing w:line="560" w:lineRule="exact"/>
        <w:ind w:firstLineChars="200" w:firstLine="643"/>
        <w:rPr>
          <w:rFonts w:ascii="仿宋_GB2312" w:eastAsia="仿宋_GB2312" w:hAnsi="楷体" w:cs="楷体"/>
          <w:kern w:val="44"/>
          <w:sz w:val="32"/>
          <w:szCs w:val="32"/>
        </w:rPr>
      </w:pPr>
      <w:r>
        <w:rPr>
          <w:rFonts w:ascii="楷体" w:eastAsia="楷体" w:hAnsi="楷体" w:cs="楷体" w:hint="eastAsia"/>
          <w:b/>
          <w:bCs/>
          <w:sz w:val="32"/>
          <w:szCs w:val="32"/>
        </w:rPr>
        <w:t>指上检察院：</w:t>
      </w:r>
      <w:r>
        <w:rPr>
          <w:rFonts w:ascii="仿宋_GB2312" w:eastAsia="仿宋_GB2312" w:hAnsi="楷体" w:cs="楷体" w:hint="eastAsia"/>
          <w:kern w:val="44"/>
          <w:sz w:val="32"/>
          <w:szCs w:val="32"/>
        </w:rPr>
        <w:t>由通辽市检察院研发推广使用的微信小程序，具有线索举报处理、新闻发布和法律宣传等功能。</w:t>
      </w:r>
    </w:p>
    <w:p w:rsidR="00930F10" w:rsidRDefault="00930F10" w:rsidP="00930F10">
      <w:pPr>
        <w:spacing w:line="560" w:lineRule="exact"/>
        <w:ind w:firstLineChars="200" w:firstLine="643"/>
        <w:rPr>
          <w:rFonts w:ascii="仿宋_GB2312" w:eastAsia="仿宋_GB2312" w:hAnsi="楷体" w:cs="楷体"/>
          <w:sz w:val="32"/>
          <w:szCs w:val="32"/>
        </w:rPr>
      </w:pPr>
      <w:r>
        <w:rPr>
          <w:rFonts w:ascii="楷体" w:eastAsia="楷体" w:hAnsi="楷体" w:cs="楷体" w:hint="eastAsia"/>
          <w:b/>
          <w:bCs/>
          <w:sz w:val="32"/>
          <w:szCs w:val="32"/>
        </w:rPr>
        <w:t>三个规定</w:t>
      </w:r>
      <w:r>
        <w:rPr>
          <w:rFonts w:ascii="仿宋_GB2312" w:eastAsia="仿宋_GB2312" w:hAnsi="楷体" w:cs="楷体" w:hint="eastAsia"/>
          <w:b/>
          <w:bCs/>
          <w:sz w:val="32"/>
          <w:szCs w:val="32"/>
        </w:rPr>
        <w:t>：</w:t>
      </w:r>
      <w:r>
        <w:rPr>
          <w:rFonts w:ascii="仿宋_GB2312" w:eastAsia="仿宋_GB2312" w:hAnsi="楷体" w:cs="楷体" w:hint="eastAsia"/>
          <w:sz w:val="32"/>
          <w:szCs w:val="32"/>
        </w:rPr>
        <w:t>即《领导干部干预司法活动、插手具体案件处理的记录、通报和责任追究规定》《司法机关内部人员过问案件的记录和责任追究规定》《关于进一步规范司法人员与当事人、律师、特殊关系人、中介组织接触交往行为的若干规定》，简称“三个规定”。</w:t>
      </w:r>
    </w:p>
    <w:p w:rsidR="00930F10" w:rsidRDefault="00930F10" w:rsidP="00930F10">
      <w:pPr>
        <w:pStyle w:val="a0"/>
        <w:overflowPunct w:val="0"/>
        <w:spacing w:after="0" w:line="560" w:lineRule="exact"/>
        <w:ind w:firstLineChars="148" w:firstLine="474"/>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ind w:firstLineChars="148" w:firstLine="474"/>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ind w:firstLineChars="148" w:firstLine="474"/>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p>
    <w:p w:rsidR="00930F10" w:rsidRDefault="00930F10" w:rsidP="00930F10">
      <w:pPr>
        <w:overflowPunct w:val="0"/>
        <w:spacing w:line="600" w:lineRule="exact"/>
        <w:textAlignment w:val="baseline"/>
        <w:rPr>
          <w:rStyle w:val="NormalCharacter"/>
          <w:rFonts w:ascii="Times New Roman" w:eastAsia="黑体" w:hAnsi="Times New Roman"/>
          <w:kern w:val="0"/>
          <w:szCs w:val="30"/>
        </w:rPr>
      </w:pPr>
      <w:r>
        <w:rPr>
          <w:rStyle w:val="NormalCharacter"/>
          <w:rFonts w:ascii="Times New Roman" w:eastAsia="黑体" w:hAnsi="Times New Roman" w:hint="eastAsia"/>
          <w:kern w:val="0"/>
          <w:szCs w:val="30"/>
        </w:rPr>
        <w:lastRenderedPageBreak/>
        <w:t>附件</w:t>
      </w:r>
      <w:r>
        <w:rPr>
          <w:rStyle w:val="NormalCharacter"/>
          <w:rFonts w:ascii="Times New Roman" w:eastAsia="黑体" w:hAnsi="Times New Roman" w:hint="eastAsia"/>
          <w:kern w:val="0"/>
          <w:szCs w:val="30"/>
        </w:rPr>
        <w:t>2</w:t>
      </w:r>
      <w:r>
        <w:rPr>
          <w:rStyle w:val="NormalCharacter"/>
          <w:rFonts w:ascii="Times New Roman" w:eastAsia="黑体" w:hAnsi="Times New Roman" w:hint="eastAsia"/>
          <w:kern w:val="0"/>
          <w:szCs w:val="30"/>
        </w:rPr>
        <w:t>：</w:t>
      </w:r>
    </w:p>
    <w:p w:rsidR="00930F10" w:rsidRDefault="00930F10" w:rsidP="00930F10">
      <w:pPr>
        <w:pStyle w:val="a0"/>
        <w:overflowPunct w:val="0"/>
        <w:spacing w:after="0" w:line="560" w:lineRule="exact"/>
        <w:ind w:firstLineChars="148" w:firstLine="474"/>
        <w:jc w:val="center"/>
        <w:textAlignment w:val="baseline"/>
        <w:rPr>
          <w:rFonts w:ascii="黑体" w:eastAsia="黑体" w:hAnsi="黑体" w:cs="黑体"/>
          <w:sz w:val="32"/>
          <w:szCs w:val="32"/>
        </w:rPr>
      </w:pPr>
      <w:r>
        <w:rPr>
          <w:rFonts w:ascii="黑体" w:eastAsia="黑体" w:hAnsi="黑体" w:cs="黑体" w:hint="eastAsia"/>
          <w:sz w:val="32"/>
          <w:szCs w:val="32"/>
        </w:rPr>
        <w:t>刑事检察业务数据趋势</w:t>
      </w: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r>
        <w:rPr>
          <w:rFonts w:ascii="仿宋_GB2312" w:eastAsia="仿宋_GB2312" w:hAnsi="楷体" w:cs="楷体"/>
          <w:noProof/>
          <w:sz w:val="32"/>
          <w:szCs w:val="32"/>
        </w:rPr>
        <w:drawing>
          <wp:anchor distT="0" distB="0" distL="114300" distR="114300" simplePos="0" relativeHeight="251660288" behindDoc="1" locked="0" layoutInCell="1" allowOverlap="1">
            <wp:simplePos x="0" y="0"/>
            <wp:positionH relativeFrom="column">
              <wp:posOffset>287655</wp:posOffset>
            </wp:positionH>
            <wp:positionV relativeFrom="paragraph">
              <wp:posOffset>242570</wp:posOffset>
            </wp:positionV>
            <wp:extent cx="5591175" cy="2838450"/>
            <wp:effectExtent l="0" t="0" r="0" b="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jc w:val="center"/>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ind w:firstLineChars="148" w:firstLine="474"/>
        <w:jc w:val="center"/>
        <w:textAlignment w:val="baseline"/>
        <w:rPr>
          <w:rFonts w:ascii="黑体" w:eastAsia="黑体" w:hAnsi="黑体" w:cs="黑体"/>
          <w:sz w:val="32"/>
          <w:szCs w:val="32"/>
        </w:rPr>
      </w:pPr>
      <w:r>
        <w:rPr>
          <w:rFonts w:ascii="黑体" w:eastAsia="黑体" w:hAnsi="黑体" w:cs="黑体" w:hint="eastAsia"/>
          <w:sz w:val="32"/>
          <w:szCs w:val="32"/>
        </w:rPr>
        <w:t>民事检察业务数据趋势</w:t>
      </w: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r>
        <w:rPr>
          <w:rFonts w:ascii="仿宋_GB2312" w:eastAsia="仿宋_GB2312" w:hAnsi="楷体" w:cs="楷体"/>
          <w:noProof/>
          <w:sz w:val="32"/>
          <w:szCs w:val="32"/>
        </w:rPr>
        <w:drawing>
          <wp:anchor distT="0" distB="0" distL="114300" distR="114300" simplePos="0" relativeHeight="251661312" behindDoc="1" locked="0" layoutInCell="1" allowOverlap="1">
            <wp:simplePos x="0" y="0"/>
            <wp:positionH relativeFrom="column">
              <wp:posOffset>154305</wp:posOffset>
            </wp:positionH>
            <wp:positionV relativeFrom="paragraph">
              <wp:posOffset>290195</wp:posOffset>
            </wp:positionV>
            <wp:extent cx="5486400" cy="2838450"/>
            <wp:effectExtent l="19050" t="0" r="0" b="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ind w:firstLineChars="148" w:firstLine="474"/>
        <w:jc w:val="center"/>
        <w:textAlignment w:val="baseline"/>
        <w:rPr>
          <w:rFonts w:ascii="黑体" w:eastAsia="黑体" w:hAnsi="黑体" w:cs="黑体"/>
          <w:sz w:val="32"/>
          <w:szCs w:val="32"/>
        </w:rPr>
      </w:pPr>
    </w:p>
    <w:p w:rsidR="00930F10" w:rsidRDefault="00930F10" w:rsidP="00930F10">
      <w:pPr>
        <w:pStyle w:val="a0"/>
        <w:overflowPunct w:val="0"/>
        <w:spacing w:after="0" w:line="560" w:lineRule="exact"/>
        <w:ind w:firstLineChars="148" w:firstLine="474"/>
        <w:jc w:val="center"/>
        <w:textAlignment w:val="baseline"/>
        <w:rPr>
          <w:rFonts w:ascii="黑体" w:eastAsia="黑体" w:hAnsi="黑体" w:cs="黑体"/>
          <w:sz w:val="32"/>
          <w:szCs w:val="32"/>
        </w:rPr>
      </w:pPr>
      <w:r>
        <w:rPr>
          <w:rFonts w:ascii="黑体" w:eastAsia="黑体" w:hAnsi="黑体" w:cs="黑体" w:hint="eastAsia"/>
          <w:sz w:val="32"/>
          <w:szCs w:val="32"/>
        </w:rPr>
        <w:lastRenderedPageBreak/>
        <w:t>行政检察业务数据趋势</w:t>
      </w:r>
    </w:p>
    <w:p w:rsidR="00930F10" w:rsidRDefault="00930F10" w:rsidP="00930F10">
      <w:pPr>
        <w:pStyle w:val="a0"/>
        <w:overflowPunct w:val="0"/>
        <w:spacing w:after="0" w:line="560" w:lineRule="exact"/>
        <w:jc w:val="center"/>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r>
        <w:rPr>
          <w:rFonts w:ascii="仿宋_GB2312" w:eastAsia="仿宋_GB2312" w:hAnsi="楷体" w:cs="楷体"/>
          <w:noProof/>
          <w:sz w:val="32"/>
          <w:szCs w:val="32"/>
        </w:rPr>
        <w:drawing>
          <wp:anchor distT="0" distB="0" distL="114300" distR="114300" simplePos="0" relativeHeight="251662336" behindDoc="1" locked="0" layoutInCell="1" allowOverlap="1">
            <wp:simplePos x="0" y="0"/>
            <wp:positionH relativeFrom="column">
              <wp:posOffset>11430</wp:posOffset>
            </wp:positionH>
            <wp:positionV relativeFrom="paragraph">
              <wp:posOffset>39370</wp:posOffset>
            </wp:positionV>
            <wp:extent cx="5486400" cy="2857500"/>
            <wp:effectExtent l="19050" t="0" r="0" b="0"/>
            <wp:wrapNone/>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ind w:firstLineChars="148" w:firstLine="474"/>
        <w:jc w:val="center"/>
        <w:textAlignment w:val="baseline"/>
        <w:rPr>
          <w:rFonts w:ascii="黑体" w:eastAsia="黑体" w:hAnsi="黑体" w:cs="黑体"/>
          <w:sz w:val="32"/>
          <w:szCs w:val="32"/>
        </w:rPr>
      </w:pPr>
      <w:r>
        <w:rPr>
          <w:rFonts w:ascii="黑体" w:eastAsia="黑体" w:hAnsi="黑体" w:cs="黑体" w:hint="eastAsia"/>
          <w:sz w:val="32"/>
          <w:szCs w:val="32"/>
        </w:rPr>
        <w:t>公益诉讼检察各类案件占比</w:t>
      </w: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r>
        <w:rPr>
          <w:rFonts w:ascii="仿宋_GB2312" w:eastAsia="仿宋_GB2312" w:hAnsi="楷体" w:cs="楷体" w:hint="eastAsia"/>
          <w:noProof/>
          <w:sz w:val="32"/>
          <w:szCs w:val="32"/>
        </w:rPr>
        <w:drawing>
          <wp:anchor distT="0" distB="0" distL="114300" distR="114300" simplePos="0" relativeHeight="251659264" behindDoc="1" locked="0" layoutInCell="1" allowOverlap="1">
            <wp:simplePos x="0" y="0"/>
            <wp:positionH relativeFrom="column">
              <wp:posOffset>154305</wp:posOffset>
            </wp:positionH>
            <wp:positionV relativeFrom="paragraph">
              <wp:posOffset>140970</wp:posOffset>
            </wp:positionV>
            <wp:extent cx="5343525" cy="2743200"/>
            <wp:effectExtent l="19050" t="0" r="9525"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930F10" w:rsidRDefault="00930F10" w:rsidP="00930F10">
      <w:pPr>
        <w:keepNext/>
        <w:adjustRightInd w:val="0"/>
        <w:spacing w:line="560" w:lineRule="exact"/>
      </w:pPr>
    </w:p>
    <w:p w:rsidR="00930F10" w:rsidRDefault="00930F10" w:rsidP="00930F10">
      <w:pPr>
        <w:keepNext/>
        <w:adjustRightInd w:val="0"/>
        <w:spacing w:line="560" w:lineRule="exact"/>
        <w:rPr>
          <w:rFonts w:ascii="仿宋_GB2312" w:eastAsia="仿宋_GB2312" w:hAnsi="Adobe 仿宋 Std R" w:cs="仿宋"/>
          <w:sz w:val="32"/>
          <w:szCs w:val="32"/>
        </w:rPr>
      </w:pPr>
    </w:p>
    <w:p w:rsidR="00930F10" w:rsidRDefault="00930F10" w:rsidP="00930F10">
      <w:pPr>
        <w:keepNext/>
        <w:adjustRightInd w:val="0"/>
        <w:spacing w:line="560" w:lineRule="exact"/>
        <w:rPr>
          <w:rFonts w:ascii="仿宋_GB2312" w:eastAsia="仿宋_GB2312" w:hAnsi="Adobe 仿宋 Std R" w:cs="仿宋"/>
          <w:sz w:val="32"/>
          <w:szCs w:val="32"/>
        </w:rPr>
      </w:pPr>
      <w:r>
        <w:rPr>
          <w:rFonts w:ascii="仿宋_GB2312" w:eastAsia="仿宋_GB2312" w:hAnsi="Adobe 仿宋 Std R" w:cs="仿宋"/>
          <w:noProof/>
          <w:sz w:val="32"/>
          <w:szCs w:val="32"/>
        </w:rPr>
        <w:drawing>
          <wp:anchor distT="0" distB="0" distL="114300" distR="114300" simplePos="0" relativeHeight="251665408" behindDoc="0" locked="0" layoutInCell="1" allowOverlap="1">
            <wp:simplePos x="0" y="0"/>
            <wp:positionH relativeFrom="column">
              <wp:posOffset>1654810</wp:posOffset>
            </wp:positionH>
            <wp:positionV relativeFrom="paragraph">
              <wp:posOffset>90805</wp:posOffset>
            </wp:positionV>
            <wp:extent cx="2410460" cy="2410460"/>
            <wp:effectExtent l="0" t="0" r="12700" b="1270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noChangeArrowheads="1"/>
                    </pic:cNvPicPr>
                  </pic:nvPicPr>
                  <pic:blipFill>
                    <a:blip r:embed="rId10"/>
                    <a:srcRect/>
                    <a:stretch>
                      <a:fillRect/>
                    </a:stretch>
                  </pic:blipFill>
                  <pic:spPr>
                    <a:xfrm>
                      <a:off x="0" y="0"/>
                      <a:ext cx="2410460" cy="2410460"/>
                    </a:xfrm>
                    <a:prstGeom prst="rect">
                      <a:avLst/>
                    </a:prstGeom>
                    <a:noFill/>
                  </pic:spPr>
                </pic:pic>
              </a:graphicData>
            </a:graphic>
          </wp:anchor>
        </w:drawing>
      </w:r>
    </w:p>
    <w:p w:rsidR="00930F10" w:rsidRDefault="00930F10" w:rsidP="00930F10">
      <w:pPr>
        <w:keepNext/>
        <w:adjustRightInd w:val="0"/>
        <w:spacing w:line="560" w:lineRule="exact"/>
        <w:rPr>
          <w:rFonts w:ascii="仿宋_GB2312" w:eastAsia="仿宋_GB2312" w:hAnsi="Adobe 仿宋 Std R" w:cs="仿宋"/>
          <w:sz w:val="32"/>
          <w:szCs w:val="32"/>
        </w:rPr>
      </w:pPr>
    </w:p>
    <w:p w:rsidR="00930F10" w:rsidRDefault="00930F10" w:rsidP="00930F10">
      <w:pPr>
        <w:keepNext/>
        <w:adjustRightInd w:val="0"/>
        <w:spacing w:line="560" w:lineRule="exact"/>
        <w:rPr>
          <w:rFonts w:ascii="仿宋_GB2312" w:eastAsia="仿宋_GB2312" w:hAnsi="Adobe 仿宋 Std R" w:cs="仿宋"/>
          <w:sz w:val="32"/>
          <w:szCs w:val="32"/>
        </w:rPr>
      </w:pPr>
    </w:p>
    <w:p w:rsidR="00930F10" w:rsidRDefault="00930F10" w:rsidP="00930F10">
      <w:pPr>
        <w:keepNext/>
        <w:adjustRightInd w:val="0"/>
        <w:spacing w:line="560" w:lineRule="exact"/>
        <w:rPr>
          <w:rFonts w:ascii="仿宋_GB2312" w:eastAsia="仿宋_GB2312" w:hAnsi="Adobe 仿宋 Std R" w:cs="仿宋"/>
          <w:sz w:val="32"/>
          <w:szCs w:val="32"/>
        </w:rPr>
      </w:pPr>
    </w:p>
    <w:p w:rsidR="00930F10" w:rsidRDefault="00930F10" w:rsidP="00930F10">
      <w:pPr>
        <w:keepNext/>
        <w:adjustRightInd w:val="0"/>
        <w:spacing w:line="560" w:lineRule="exact"/>
        <w:jc w:val="center"/>
        <w:rPr>
          <w:rFonts w:ascii="仿宋_GB2312" w:eastAsia="仿宋_GB2312" w:hAnsi="Adobe 仿宋 Std R" w:cs="仿宋"/>
          <w:sz w:val="32"/>
          <w:szCs w:val="32"/>
        </w:rPr>
      </w:pPr>
    </w:p>
    <w:p w:rsidR="00930F10" w:rsidRDefault="00930F10" w:rsidP="00930F10">
      <w:pPr>
        <w:keepNext/>
        <w:adjustRightInd w:val="0"/>
        <w:spacing w:line="560" w:lineRule="exact"/>
        <w:rPr>
          <w:rFonts w:ascii="仿宋_GB2312" w:eastAsia="仿宋_GB2312" w:hAnsi="Adobe 仿宋 Std R" w:cs="仿宋"/>
          <w:sz w:val="32"/>
          <w:szCs w:val="32"/>
        </w:rPr>
      </w:pPr>
    </w:p>
    <w:p w:rsidR="00930F10" w:rsidRDefault="00930F10" w:rsidP="00930F10">
      <w:pPr>
        <w:keepNext/>
        <w:adjustRightInd w:val="0"/>
        <w:spacing w:line="560" w:lineRule="exact"/>
        <w:rPr>
          <w:rFonts w:ascii="仿宋_GB2312" w:eastAsia="仿宋_GB2312" w:hAnsi="Adobe 仿宋 Std R" w:cs="仿宋"/>
          <w:sz w:val="32"/>
          <w:szCs w:val="32"/>
        </w:rPr>
      </w:pPr>
    </w:p>
    <w:p w:rsidR="00930F10" w:rsidRDefault="00930F10" w:rsidP="00930F10">
      <w:pPr>
        <w:keepNext/>
        <w:adjustRightInd w:val="0"/>
        <w:spacing w:line="560" w:lineRule="exact"/>
        <w:jc w:val="center"/>
        <w:rPr>
          <w:rFonts w:ascii="黑体" w:eastAsia="黑体" w:hAnsi="Adobe 仿宋 Std R" w:cs="仿宋"/>
          <w:szCs w:val="30"/>
        </w:rPr>
      </w:pPr>
      <w:r>
        <w:rPr>
          <w:rFonts w:ascii="黑体" w:eastAsia="黑体" w:hAnsi="Adobe 仿宋 Std R" w:cs="仿宋" w:hint="eastAsia"/>
          <w:szCs w:val="30"/>
        </w:rPr>
        <w:t>霍林郭勒检察微信公众号</w:t>
      </w:r>
    </w:p>
    <w:p w:rsidR="00930F10" w:rsidRDefault="00930F10" w:rsidP="00930F10">
      <w:pPr>
        <w:keepNext/>
        <w:adjustRightInd w:val="0"/>
        <w:spacing w:line="560" w:lineRule="exact"/>
        <w:rPr>
          <w:rFonts w:ascii="仿宋_GB2312" w:eastAsia="仿宋_GB2312" w:hAnsi="Adobe 仿宋 Std R" w:cs="仿宋"/>
          <w:sz w:val="32"/>
          <w:szCs w:val="32"/>
        </w:rPr>
      </w:pPr>
    </w:p>
    <w:p w:rsidR="00930F10" w:rsidRDefault="00930F10" w:rsidP="00930F10">
      <w:pPr>
        <w:keepNext/>
        <w:adjustRightInd w:val="0"/>
        <w:spacing w:line="560" w:lineRule="exact"/>
        <w:rPr>
          <w:rFonts w:ascii="仿宋_GB2312" w:eastAsia="仿宋_GB2312" w:hAnsi="Adobe 仿宋 Std R" w:cs="仿宋"/>
          <w:sz w:val="32"/>
          <w:szCs w:val="32"/>
        </w:rPr>
      </w:pPr>
      <w:r>
        <w:rPr>
          <w:rFonts w:ascii="仿宋_GB2312" w:eastAsia="仿宋_GB2312" w:hAnsi="Adobe 仿宋 Std R" w:cs="仿宋"/>
          <w:noProof/>
          <w:sz w:val="32"/>
          <w:szCs w:val="32"/>
        </w:rPr>
        <w:drawing>
          <wp:anchor distT="0" distB="0" distL="114300" distR="114300" simplePos="0" relativeHeight="251663360" behindDoc="0" locked="0" layoutInCell="1" allowOverlap="1">
            <wp:simplePos x="0" y="0"/>
            <wp:positionH relativeFrom="column">
              <wp:posOffset>3359785</wp:posOffset>
            </wp:positionH>
            <wp:positionV relativeFrom="paragraph">
              <wp:posOffset>224790</wp:posOffset>
            </wp:positionV>
            <wp:extent cx="1800225" cy="1743075"/>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1">
                      <a:clrChange>
                        <a:clrFrom>
                          <a:srgbClr val="FFFFFF"/>
                        </a:clrFrom>
                        <a:clrTo>
                          <a:srgbClr val="FFFFFF">
                            <a:alpha val="0"/>
                          </a:srgbClr>
                        </a:clrTo>
                      </a:clrChange>
                    </a:blip>
                    <a:srcRect l="21243" t="6952" r="20325" b="40909"/>
                    <a:stretch>
                      <a:fillRect/>
                    </a:stretch>
                  </pic:blipFill>
                  <pic:spPr>
                    <a:xfrm>
                      <a:off x="0" y="0"/>
                      <a:ext cx="1800225" cy="1743075"/>
                    </a:xfrm>
                    <a:prstGeom prst="rect">
                      <a:avLst/>
                    </a:prstGeom>
                    <a:noFill/>
                  </pic:spPr>
                </pic:pic>
              </a:graphicData>
            </a:graphic>
          </wp:anchor>
        </w:drawing>
      </w:r>
      <w:r>
        <w:rPr>
          <w:noProof/>
        </w:rPr>
        <w:drawing>
          <wp:anchor distT="0" distB="0" distL="114300" distR="114300" simplePos="0" relativeHeight="251664384" behindDoc="0" locked="0" layoutInCell="1" allowOverlap="1">
            <wp:simplePos x="0" y="0"/>
            <wp:positionH relativeFrom="column">
              <wp:posOffset>595630</wp:posOffset>
            </wp:positionH>
            <wp:positionV relativeFrom="paragraph">
              <wp:posOffset>332740</wp:posOffset>
            </wp:positionV>
            <wp:extent cx="1267460" cy="1495425"/>
            <wp:effectExtent l="0" t="0" r="8890" b="952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2" cstate="print"/>
                    <a:srcRect l="18977" t="4881" r="20293" b="37827"/>
                    <a:stretch>
                      <a:fillRect/>
                    </a:stretch>
                  </pic:blipFill>
                  <pic:spPr>
                    <a:xfrm>
                      <a:off x="0" y="0"/>
                      <a:ext cx="1267460" cy="1495425"/>
                    </a:xfrm>
                    <a:prstGeom prst="rect">
                      <a:avLst/>
                    </a:prstGeom>
                    <a:noFill/>
                  </pic:spPr>
                </pic:pic>
              </a:graphicData>
            </a:graphic>
          </wp:anchor>
        </w:drawing>
      </w:r>
    </w:p>
    <w:p w:rsidR="00930F10" w:rsidRDefault="00930F10" w:rsidP="00930F10">
      <w:pPr>
        <w:keepNext/>
        <w:adjustRightInd w:val="0"/>
        <w:spacing w:line="560" w:lineRule="exact"/>
        <w:rPr>
          <w:rFonts w:ascii="仿宋_GB2312" w:eastAsia="仿宋_GB2312" w:hAnsi="Adobe 仿宋 Std R" w:cs="仿宋"/>
          <w:sz w:val="32"/>
          <w:szCs w:val="32"/>
        </w:rPr>
      </w:pPr>
    </w:p>
    <w:p w:rsidR="00930F10" w:rsidRDefault="00930F10" w:rsidP="00930F10">
      <w:pPr>
        <w:keepNext/>
        <w:adjustRightInd w:val="0"/>
        <w:spacing w:line="560" w:lineRule="exact"/>
        <w:rPr>
          <w:rFonts w:ascii="仿宋_GB2312" w:eastAsia="仿宋_GB2312" w:hAnsi="Adobe 仿宋 Std R" w:cs="仿宋"/>
          <w:sz w:val="32"/>
          <w:szCs w:val="32"/>
        </w:rPr>
      </w:pPr>
    </w:p>
    <w:p w:rsidR="00930F10" w:rsidRDefault="00930F10" w:rsidP="00930F10">
      <w:pPr>
        <w:keepNext/>
        <w:adjustRightInd w:val="0"/>
        <w:spacing w:line="560" w:lineRule="exact"/>
        <w:rPr>
          <w:rFonts w:ascii="仿宋_GB2312" w:eastAsia="仿宋_GB2312" w:hAnsi="Adobe 仿宋 Std R" w:cs="仿宋"/>
          <w:sz w:val="32"/>
          <w:szCs w:val="32"/>
        </w:rPr>
      </w:pPr>
    </w:p>
    <w:p w:rsidR="00930F10" w:rsidRDefault="00930F10" w:rsidP="00930F10">
      <w:pPr>
        <w:keepNext/>
        <w:adjustRightInd w:val="0"/>
        <w:spacing w:line="560" w:lineRule="exact"/>
        <w:rPr>
          <w:rFonts w:ascii="仿宋_GB2312" w:eastAsia="仿宋_GB2312" w:hAnsi="Adobe 仿宋 Std R" w:cs="仿宋"/>
          <w:sz w:val="32"/>
          <w:szCs w:val="32"/>
        </w:rPr>
      </w:pPr>
    </w:p>
    <w:p w:rsidR="00930F10" w:rsidRDefault="00930F10" w:rsidP="00930F10">
      <w:pPr>
        <w:keepNext/>
        <w:adjustRightInd w:val="0"/>
        <w:spacing w:line="560" w:lineRule="exact"/>
        <w:ind w:firstLineChars="200" w:firstLine="600"/>
        <w:rPr>
          <w:rFonts w:ascii="黑体" w:eastAsia="黑体" w:hAnsi="Adobe 仿宋 Std R" w:cs="仿宋"/>
          <w:szCs w:val="30"/>
        </w:rPr>
      </w:pPr>
      <w:r>
        <w:rPr>
          <w:rFonts w:ascii="黑体" w:eastAsia="黑体" w:hAnsi="Adobe 仿宋 Std R" w:cs="仿宋" w:hint="eastAsia"/>
          <w:szCs w:val="30"/>
        </w:rPr>
        <w:t>霍林郭勒检察抖音码           霍林郭勒检察微博二维码</w:t>
      </w:r>
    </w:p>
    <w:p w:rsidR="00930F10" w:rsidRDefault="00930F10" w:rsidP="00930F10">
      <w:pPr>
        <w:keepNext/>
        <w:adjustRightInd w:val="0"/>
        <w:spacing w:line="560" w:lineRule="exact"/>
        <w:rPr>
          <w:rFonts w:eastAsia="仿宋_GB2312"/>
          <w:sz w:val="32"/>
          <w:szCs w:val="32"/>
        </w:rPr>
      </w:pPr>
    </w:p>
    <w:p w:rsidR="00930F10" w:rsidRDefault="00930F10" w:rsidP="00930F10">
      <w:pPr>
        <w:pStyle w:val="a0"/>
        <w:overflowPunct w:val="0"/>
        <w:spacing w:after="0" w:line="560" w:lineRule="exact"/>
        <w:textAlignment w:val="baseline"/>
        <w:rPr>
          <w:rFonts w:ascii="仿宋_GB2312" w:eastAsia="仿宋_GB2312" w:hAnsi="楷体" w:cs="楷体"/>
          <w:sz w:val="32"/>
          <w:szCs w:val="32"/>
        </w:rPr>
      </w:pPr>
    </w:p>
    <w:p w:rsidR="002A520A" w:rsidRPr="00930F10" w:rsidRDefault="002A520A"/>
    <w:sectPr w:rsidR="002A520A" w:rsidRPr="00930F10" w:rsidSect="00F40A99">
      <w:footerReference w:type="default" r:id="rId13"/>
      <w:pgSz w:w="11905" w:h="16838" w:orient="landscape"/>
      <w:pgMar w:top="1474" w:right="1440" w:bottom="1474" w:left="1440" w:header="851" w:footer="992" w:gutter="0"/>
      <w:pgNumType w:start="2"/>
      <w:cols w:space="0"/>
      <w:docGrid w:type="lines" w:linePitch="4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20A" w:rsidRDefault="002A520A" w:rsidP="00930F10">
      <w:r>
        <w:separator/>
      </w:r>
    </w:p>
  </w:endnote>
  <w:endnote w:type="continuationSeparator" w:id="1">
    <w:p w:rsidR="002A520A" w:rsidRDefault="002A520A" w:rsidP="00930F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楷体简体">
    <w:altName w:val="Arial Unicode MS"/>
    <w:charset w:val="86"/>
    <w:family w:val="script"/>
    <w:pitch w:val="default"/>
    <w:sig w:usb0="00000000" w:usb1="184F6CFA" w:usb2="00000012" w:usb3="00000000" w:csb0="00040001" w:csb1="00000000"/>
  </w:font>
  <w:font w:name="方正小标宋_GBK">
    <w:altName w:val="Arial Unicode MS"/>
    <w:charset w:val="86"/>
    <w:family w:val="auto"/>
    <w:pitch w:val="default"/>
    <w:sig w:usb0="00000000" w:usb1="080E0000" w:usb2="00000000" w:usb3="00000000" w:csb0="00040000" w:csb1="00000000"/>
  </w:font>
  <w:font w:name="方正小标宋简体">
    <w:charset w:val="86"/>
    <w:family w:val="auto"/>
    <w:pitch w:val="default"/>
    <w:sig w:usb0="00000001" w:usb1="0800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dobe 仿宋 Std R">
    <w:altName w:val="仿宋"/>
    <w:charset w:val="86"/>
    <w:family w:val="auto"/>
    <w:pitch w:val="default"/>
    <w:sig w:usb0="00000000" w:usb1="0000000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99" w:rsidRDefault="002A520A">
    <w:pPr>
      <w:pStyle w:val="a5"/>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Rw08wBAACn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G86csPTgl+/fLj9+XX5+Zcsk&#10;Tx+woqqHQHVxuPMDLc0cRwom1kMLNn2JD6M8iXu+iquGyGS6tF6t1yWlJOVmh/CLx+sBML5V3rJk&#10;1Bzo9bKo4vQe41g6l6Ruzt9rY/ILGvdXgDDHiMorMN1OTMaJkxWH/TDR2/vmTOx6WoOaO9p6zsw7&#10;RyqnjZkNmI39bBwD6EOXVyp1x3B7jDRSnjR1GGGJYXLo/TLXadfSgvzp56rH/2v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tHDTzAEAAKcDAAAOAAAAAAAAAAEAIAAAAB4BAABkcnMvZTJv&#10;RG9jLnhtbFBLBQYAAAAABgAGAFkBAABcBQAAAAA=&#10;" filled="f" stroked="f">
          <v:textbox style="mso-fit-shape-to-text:t" inset="0,0,0,0">
            <w:txbxContent>
              <w:p w:rsidR="00F40A99" w:rsidRDefault="002A520A">
                <w:pPr>
                  <w:pStyle w:val="a5"/>
                </w:pPr>
                <w:r>
                  <w:rPr>
                    <w:rFonts w:hint="eastAsia"/>
                  </w:rPr>
                  <w:t>—</w:t>
                </w:r>
                <w:r>
                  <w:rPr>
                    <w:rFonts w:hint="eastAsia"/>
                  </w:rPr>
                  <w:t xml:space="preserve"> </w:t>
                </w:r>
                <w:r>
                  <w:rPr>
                    <w:rFonts w:ascii="Times New Roman" w:hAnsi="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sz w:val="24"/>
                    <w:szCs w:val="24"/>
                  </w:rPr>
                  <w:fldChar w:fldCharType="separate"/>
                </w:r>
                <w:r w:rsidR="00930F10" w:rsidRPr="00930F10">
                  <w:rPr>
                    <w:rFonts w:ascii="Times New Roman" w:hAnsi="Times New Roman"/>
                    <w:noProof/>
                    <w:sz w:val="24"/>
                    <w:szCs w:val="24"/>
                  </w:rPr>
                  <w:t>16</w:t>
                </w:r>
                <w:r>
                  <w:rPr>
                    <w:rFonts w:ascii="Times New Roman" w:hAnsi="Times New Roman"/>
                    <w:sz w:val="24"/>
                    <w:szCs w:val="24"/>
                  </w:rPr>
                  <w:fldChar w:fldCharType="end"/>
                </w:r>
                <w:r>
                  <w:rPr>
                    <w:rFonts w:hint="eastAsia"/>
                  </w:rPr>
                  <w:t xml:space="preserve"> </w:t>
                </w:r>
                <w:r>
                  <w:rPr>
                    <w:rFonts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20A" w:rsidRDefault="002A520A" w:rsidP="00930F10">
      <w:r>
        <w:separator/>
      </w:r>
    </w:p>
  </w:footnote>
  <w:footnote w:type="continuationSeparator" w:id="1">
    <w:p w:rsidR="002A520A" w:rsidRDefault="002A520A" w:rsidP="00930F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F10"/>
    <w:rsid w:val="002A520A"/>
    <w:rsid w:val="00930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endnote tex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30F10"/>
    <w:pPr>
      <w:widowControl w:val="0"/>
      <w:jc w:val="both"/>
    </w:pPr>
    <w:rPr>
      <w:rFonts w:ascii="宋体" w:eastAsia="宋体" w:hAnsi="宋体" w:cs="Times New Roman"/>
      <w:sz w:val="30"/>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30F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930F10"/>
    <w:rPr>
      <w:sz w:val="18"/>
      <w:szCs w:val="18"/>
    </w:rPr>
  </w:style>
  <w:style w:type="paragraph" w:styleId="a5">
    <w:name w:val="footer"/>
    <w:basedOn w:val="a"/>
    <w:link w:val="Char0"/>
    <w:unhideWhenUsed/>
    <w:qFormat/>
    <w:rsid w:val="00930F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qFormat/>
    <w:rsid w:val="00930F10"/>
    <w:rPr>
      <w:sz w:val="18"/>
      <w:szCs w:val="18"/>
    </w:rPr>
  </w:style>
  <w:style w:type="paragraph" w:styleId="a0">
    <w:name w:val="Body Text"/>
    <w:basedOn w:val="a"/>
    <w:link w:val="Char1"/>
    <w:uiPriority w:val="99"/>
    <w:unhideWhenUsed/>
    <w:qFormat/>
    <w:rsid w:val="00930F10"/>
    <w:pPr>
      <w:spacing w:after="120"/>
    </w:pPr>
  </w:style>
  <w:style w:type="character" w:customStyle="1" w:styleId="Char1">
    <w:name w:val="正文文本 Char"/>
    <w:basedOn w:val="a1"/>
    <w:link w:val="a0"/>
    <w:uiPriority w:val="99"/>
    <w:qFormat/>
    <w:rsid w:val="00930F10"/>
    <w:rPr>
      <w:rFonts w:ascii="宋体" w:eastAsia="宋体" w:hAnsi="宋体" w:cs="Times New Roman"/>
      <w:sz w:val="30"/>
      <w:szCs w:val="24"/>
    </w:rPr>
  </w:style>
  <w:style w:type="paragraph" w:styleId="a6">
    <w:name w:val="endnote text"/>
    <w:basedOn w:val="a"/>
    <w:link w:val="Char2"/>
    <w:uiPriority w:val="99"/>
    <w:unhideWhenUsed/>
    <w:qFormat/>
    <w:rsid w:val="00930F10"/>
    <w:pPr>
      <w:snapToGrid w:val="0"/>
      <w:jc w:val="left"/>
    </w:pPr>
    <w:rPr>
      <w:rFonts w:asciiTheme="minorHAnsi" w:eastAsiaTheme="minorEastAsia" w:hAnsiTheme="minorHAnsi"/>
      <w:kern w:val="0"/>
      <w:sz w:val="24"/>
      <w:lang w:eastAsia="en-US"/>
    </w:rPr>
  </w:style>
  <w:style w:type="character" w:customStyle="1" w:styleId="Char2">
    <w:name w:val="尾注文本 Char"/>
    <w:basedOn w:val="a1"/>
    <w:link w:val="a6"/>
    <w:uiPriority w:val="99"/>
    <w:qFormat/>
    <w:rsid w:val="00930F10"/>
    <w:rPr>
      <w:rFonts w:cs="Times New Roman"/>
      <w:kern w:val="0"/>
      <w:sz w:val="24"/>
      <w:szCs w:val="24"/>
      <w:lang w:eastAsia="en-US"/>
    </w:rPr>
  </w:style>
  <w:style w:type="paragraph" w:styleId="a7">
    <w:name w:val="Body Text Indent"/>
    <w:basedOn w:val="a"/>
    <w:link w:val="Char3"/>
    <w:uiPriority w:val="99"/>
    <w:semiHidden/>
    <w:unhideWhenUsed/>
    <w:rsid w:val="00930F10"/>
    <w:pPr>
      <w:spacing w:after="120"/>
      <w:ind w:leftChars="200" w:left="420"/>
    </w:pPr>
  </w:style>
  <w:style w:type="character" w:customStyle="1" w:styleId="Char3">
    <w:name w:val="正文文本缩进 Char"/>
    <w:basedOn w:val="a1"/>
    <w:link w:val="a7"/>
    <w:uiPriority w:val="99"/>
    <w:semiHidden/>
    <w:rsid w:val="00930F10"/>
    <w:rPr>
      <w:rFonts w:ascii="宋体" w:eastAsia="宋体" w:hAnsi="宋体" w:cs="Times New Roman"/>
      <w:sz w:val="30"/>
      <w:szCs w:val="24"/>
    </w:rPr>
  </w:style>
  <w:style w:type="paragraph" w:styleId="2">
    <w:name w:val="Body Text First Indent 2"/>
    <w:basedOn w:val="a7"/>
    <w:next w:val="a"/>
    <w:link w:val="2Char"/>
    <w:qFormat/>
    <w:rsid w:val="00930F10"/>
    <w:pPr>
      <w:ind w:left="200" w:firstLineChars="200" w:firstLine="420"/>
    </w:pPr>
  </w:style>
  <w:style w:type="character" w:customStyle="1" w:styleId="2Char">
    <w:name w:val="正文首行缩进 2 Char"/>
    <w:basedOn w:val="Char3"/>
    <w:link w:val="2"/>
    <w:qFormat/>
    <w:rsid w:val="00930F10"/>
  </w:style>
  <w:style w:type="paragraph" w:customStyle="1" w:styleId="00121">
    <w:name w:val="样式 正文001 + 首行缩进:  2 字符1"/>
    <w:basedOn w:val="a"/>
    <w:qFormat/>
    <w:rsid w:val="00930F10"/>
    <w:pPr>
      <w:spacing w:before="60" w:line="460" w:lineRule="exact"/>
      <w:ind w:firstLineChars="200" w:firstLine="480"/>
    </w:pPr>
    <w:rPr>
      <w:sz w:val="24"/>
      <w:szCs w:val="22"/>
    </w:rPr>
  </w:style>
  <w:style w:type="paragraph" w:customStyle="1" w:styleId="p15">
    <w:name w:val="p15"/>
    <w:basedOn w:val="a"/>
    <w:qFormat/>
    <w:rsid w:val="00930F10"/>
    <w:pPr>
      <w:widowControl/>
    </w:pPr>
    <w:rPr>
      <w:rFonts w:ascii="仿宋_GB2312" w:eastAsia="仿宋_GB2312"/>
      <w:sz w:val="32"/>
      <w:szCs w:val="20"/>
    </w:rPr>
  </w:style>
  <w:style w:type="character" w:customStyle="1" w:styleId="NormalCharacter">
    <w:name w:val="NormalCharacter"/>
    <w:semiHidden/>
    <w:qFormat/>
    <w:rsid w:val="00930F10"/>
    <w:rPr>
      <w:rFonts w:ascii="宋体" w:hAnsi="宋体"/>
      <w:kern w:val="2"/>
      <w:sz w:val="30"/>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25509;&#25910;&#25991;&#20214;\20211208\1226&#20154;&#22823;&#25968;&#25454;&#34920;&#65288;1-3&#37096;&#65289;(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5509;&#25910;&#25991;&#20214;\20211208\1226&#20154;&#22823;&#25968;&#25454;&#34920;&#65288;1-3&#37096;&#65289;(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5509;&#25910;&#25991;&#20214;\20211208\1226&#20154;&#22823;&#25968;&#25454;&#34920;&#65288;1-3&#37096;&#65289;(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5509;&#25910;&#25991;&#20214;\1226&#20154;&#22823;&#25968;&#25454;&#34920;&#65288;1-3&#37096;&#6528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tx>
            <c:strRef>
              <c:f>'第一个 刑检'!$B$2</c:f>
              <c:strCache>
                <c:ptCount val="1"/>
                <c:pt idx="0">
                  <c:v>批准和决定逮捕</c:v>
                </c:pt>
              </c:strCache>
            </c:strRef>
          </c:tx>
          <c:spPr>
            <a:ln w="28800" cap="rnd" cmpd="sng" algn="ctr">
              <a:solidFill>
                <a:srgbClr val="004586"/>
              </a:solidFill>
              <a:prstDash val="solid"/>
              <a:round/>
            </a:ln>
          </c:spPr>
          <c:marker>
            <c:symbol val="square"/>
            <c:size val="8"/>
            <c:spPr>
              <a:solidFill>
                <a:srgbClr val="004586"/>
              </a:solidFill>
            </c:spPr>
          </c:marker>
          <c:dLbls>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dLblPos val="r"/>
            <c:showBubbleSize val="1"/>
            <c:separator> </c:separator>
            <c:extLst>
              <c:ext xmlns:c15="http://schemas.microsoft.com/office/drawing/2012/chart" uri="{CE6537A1-D6FC-4f65-9D91-7224C49458BB}">
                <c15:layout/>
                <c15:showLeaderLines val="1"/>
                <c15:leaderLines/>
              </c:ext>
            </c:extLst>
          </c:dLbls>
          <c:cat>
            <c:strRef>
              <c:f>'第一个 刑检'!$A$3:$A$6</c:f>
              <c:strCache>
                <c:ptCount val="4"/>
                <c:pt idx="0">
                  <c:v>2018年</c:v>
                </c:pt>
                <c:pt idx="1">
                  <c:v>2019年</c:v>
                </c:pt>
                <c:pt idx="2">
                  <c:v>2020年</c:v>
                </c:pt>
                <c:pt idx="3">
                  <c:v>2021年</c:v>
                </c:pt>
              </c:strCache>
            </c:strRef>
          </c:cat>
          <c:val>
            <c:numRef>
              <c:f>'第一个 刑检'!$B$3:$B$6</c:f>
              <c:numCache>
                <c:formatCode>General</c:formatCode>
                <c:ptCount val="4"/>
                <c:pt idx="0">
                  <c:v>105</c:v>
                </c:pt>
                <c:pt idx="1">
                  <c:v>119</c:v>
                </c:pt>
                <c:pt idx="2">
                  <c:v>91</c:v>
                </c:pt>
                <c:pt idx="3">
                  <c:v>72</c:v>
                </c:pt>
              </c:numCache>
            </c:numRef>
          </c:val>
        </c:ser>
        <c:ser>
          <c:idx val="1"/>
          <c:order val="1"/>
          <c:tx>
            <c:strRef>
              <c:f>'第一个 刑检'!$C$2</c:f>
              <c:strCache>
                <c:ptCount val="1"/>
                <c:pt idx="0">
                  <c:v>不批准逮捕</c:v>
                </c:pt>
              </c:strCache>
            </c:strRef>
          </c:tx>
          <c:spPr>
            <a:ln w="28800" cap="rnd" cmpd="sng" algn="ctr">
              <a:solidFill>
                <a:srgbClr val="FF420E"/>
              </a:solidFill>
              <a:prstDash val="solid"/>
              <a:round/>
            </a:ln>
          </c:spPr>
          <c:marker>
            <c:symbol val="diamond"/>
            <c:size val="8"/>
            <c:spPr>
              <a:solidFill>
                <a:srgbClr val="FF420E"/>
              </a:solidFill>
            </c:spPr>
          </c:marker>
          <c:dLbls>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dLblPos val="r"/>
            <c:showBubbleSize val="1"/>
            <c:separator> </c:separator>
            <c:extLst>
              <c:ext xmlns:c15="http://schemas.microsoft.com/office/drawing/2012/chart" uri="{CE6537A1-D6FC-4f65-9D91-7224C49458BB}">
                <c15:layout/>
                <c15:showLeaderLines val="1"/>
                <c15:leaderLines/>
              </c:ext>
            </c:extLst>
          </c:dLbls>
          <c:cat>
            <c:strRef>
              <c:f>'第一个 刑检'!$A$3:$A$6</c:f>
              <c:strCache>
                <c:ptCount val="4"/>
                <c:pt idx="0">
                  <c:v>2018年</c:v>
                </c:pt>
                <c:pt idx="1">
                  <c:v>2019年</c:v>
                </c:pt>
                <c:pt idx="2">
                  <c:v>2020年</c:v>
                </c:pt>
                <c:pt idx="3">
                  <c:v>2021年</c:v>
                </c:pt>
              </c:strCache>
            </c:strRef>
          </c:cat>
          <c:val>
            <c:numRef>
              <c:f>'第一个 刑检'!$C$3:$C$6</c:f>
              <c:numCache>
                <c:formatCode>General</c:formatCode>
                <c:ptCount val="4"/>
                <c:pt idx="0">
                  <c:v>19</c:v>
                </c:pt>
                <c:pt idx="1">
                  <c:v>19</c:v>
                </c:pt>
                <c:pt idx="2">
                  <c:v>14</c:v>
                </c:pt>
                <c:pt idx="3">
                  <c:v>11</c:v>
                </c:pt>
              </c:numCache>
            </c:numRef>
          </c:val>
        </c:ser>
        <c:ser>
          <c:idx val="2"/>
          <c:order val="2"/>
          <c:tx>
            <c:strRef>
              <c:f>'第一个 刑检'!$D$2</c:f>
              <c:strCache>
                <c:ptCount val="1"/>
                <c:pt idx="0">
                  <c:v>提起公诉</c:v>
                </c:pt>
              </c:strCache>
            </c:strRef>
          </c:tx>
          <c:spPr>
            <a:ln w="28800" cap="rnd" cmpd="sng" algn="ctr">
              <a:solidFill>
                <a:srgbClr val="FFD320"/>
              </a:solidFill>
              <a:prstDash val="solid"/>
              <a:round/>
            </a:ln>
          </c:spPr>
          <c:marker>
            <c:symbol val="triangle"/>
            <c:size val="8"/>
            <c:spPr>
              <a:solidFill>
                <a:srgbClr val="FFD320"/>
              </a:solidFill>
            </c:spPr>
          </c:marker>
          <c:dLbls>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dLblPos val="r"/>
            <c:showBubbleSize val="1"/>
            <c:separator> </c:separator>
            <c:extLst>
              <c:ext xmlns:c15="http://schemas.microsoft.com/office/drawing/2012/chart" uri="{CE6537A1-D6FC-4f65-9D91-7224C49458BB}">
                <c15:layout/>
                <c15:showLeaderLines val="1"/>
                <c15:leaderLines/>
              </c:ext>
            </c:extLst>
          </c:dLbls>
          <c:cat>
            <c:strRef>
              <c:f>'第一个 刑检'!$A$3:$A$6</c:f>
              <c:strCache>
                <c:ptCount val="4"/>
                <c:pt idx="0">
                  <c:v>2018年</c:v>
                </c:pt>
                <c:pt idx="1">
                  <c:v>2019年</c:v>
                </c:pt>
                <c:pt idx="2">
                  <c:v>2020年</c:v>
                </c:pt>
                <c:pt idx="3">
                  <c:v>2021年</c:v>
                </c:pt>
              </c:strCache>
            </c:strRef>
          </c:cat>
          <c:val>
            <c:numRef>
              <c:f>'第一个 刑检'!$D$3:$D$6</c:f>
              <c:numCache>
                <c:formatCode>General</c:formatCode>
                <c:ptCount val="4"/>
                <c:pt idx="0">
                  <c:v>262</c:v>
                </c:pt>
                <c:pt idx="1">
                  <c:v>249</c:v>
                </c:pt>
                <c:pt idx="2">
                  <c:v>195</c:v>
                </c:pt>
                <c:pt idx="3">
                  <c:v>226</c:v>
                </c:pt>
              </c:numCache>
            </c:numRef>
          </c:val>
        </c:ser>
        <c:ser>
          <c:idx val="3"/>
          <c:order val="3"/>
          <c:tx>
            <c:strRef>
              <c:f>'第一个 刑检'!$E$2</c:f>
              <c:strCache>
                <c:ptCount val="1"/>
                <c:pt idx="0">
                  <c:v>不起诉</c:v>
                </c:pt>
              </c:strCache>
            </c:strRef>
          </c:tx>
          <c:spPr>
            <a:ln w="28800" cap="rnd" cmpd="sng" algn="ctr">
              <a:solidFill>
                <a:srgbClr val="579D1C"/>
              </a:solidFill>
              <a:prstDash val="solid"/>
              <a:round/>
            </a:ln>
          </c:spPr>
          <c:marker>
            <c:symbol val="triangle"/>
            <c:size val="8"/>
            <c:spPr>
              <a:solidFill>
                <a:srgbClr val="579D1C"/>
              </a:solidFill>
            </c:spPr>
          </c:marker>
          <c:dLbls>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dLblPos val="r"/>
            <c:showBubbleSize val="1"/>
            <c:separator> </c:separator>
            <c:extLst>
              <c:ext xmlns:c15="http://schemas.microsoft.com/office/drawing/2012/chart" uri="{CE6537A1-D6FC-4f65-9D91-7224C49458BB}">
                <c15:layout/>
                <c15:showLeaderLines val="1"/>
                <c15:leaderLines/>
              </c:ext>
            </c:extLst>
          </c:dLbls>
          <c:cat>
            <c:strRef>
              <c:f>'第一个 刑检'!$A$3:$A$6</c:f>
              <c:strCache>
                <c:ptCount val="4"/>
                <c:pt idx="0">
                  <c:v>2018年</c:v>
                </c:pt>
                <c:pt idx="1">
                  <c:v>2019年</c:v>
                </c:pt>
                <c:pt idx="2">
                  <c:v>2020年</c:v>
                </c:pt>
                <c:pt idx="3">
                  <c:v>2021年</c:v>
                </c:pt>
              </c:strCache>
            </c:strRef>
          </c:cat>
          <c:val>
            <c:numRef>
              <c:f>'第一个 刑检'!$E$3:$E$6</c:f>
              <c:numCache>
                <c:formatCode>General</c:formatCode>
                <c:ptCount val="4"/>
                <c:pt idx="0">
                  <c:v>9</c:v>
                </c:pt>
                <c:pt idx="1">
                  <c:v>2</c:v>
                </c:pt>
                <c:pt idx="2">
                  <c:v>22</c:v>
                </c:pt>
                <c:pt idx="3">
                  <c:v>45</c:v>
                </c:pt>
              </c:numCache>
            </c:numRef>
          </c:val>
        </c:ser>
        <c:dLbls>
          <c:showBubbleSize val="1"/>
        </c:dLbls>
        <c:hiLowLines>
          <c:spPr>
            <a:ln w="0" cap="flat" cmpd="sng" algn="ctr">
              <a:noFill/>
              <a:prstDash val="solid"/>
              <a:round/>
            </a:ln>
          </c:spPr>
        </c:hiLowLines>
        <c:marker val="1"/>
        <c:axId val="261355008"/>
        <c:axId val="261356544"/>
      </c:lineChart>
      <c:catAx>
        <c:axId val="261355008"/>
        <c:scaling>
          <c:orientation val="minMax"/>
        </c:scaling>
        <c:axPos val="b"/>
        <c:numFmt formatCode="General" sourceLinked="0"/>
        <c:tickLblPos val="nextTo"/>
        <c:spPr>
          <a:ln w="0" cap="flat" cmpd="sng" algn="ctr">
            <a:solidFill>
              <a:srgbClr val="B3B3B3"/>
            </a:solidFill>
            <a:prstDash val="solid"/>
            <a:round/>
          </a:ln>
        </c:spPr>
        <c:txPr>
          <a:bodyPr rot="-60000000" spcFirstLastPara="0" vertOverflow="ellipsis" vert="horz" wrap="square"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crossAx val="261356544"/>
        <c:crosses val="autoZero"/>
        <c:auto val="1"/>
        <c:lblAlgn val="ctr"/>
        <c:lblOffset val="100"/>
      </c:catAx>
      <c:valAx>
        <c:axId val="261356544"/>
        <c:scaling>
          <c:orientation val="minMax"/>
        </c:scaling>
        <c:axPos val="l"/>
        <c:majorGridlines>
          <c:spPr>
            <a:ln w="0" cap="flat" cmpd="sng" algn="ctr">
              <a:solidFill>
                <a:srgbClr val="B3B3B3"/>
              </a:solidFill>
              <a:prstDash val="solid"/>
              <a:round/>
            </a:ln>
          </c:spPr>
        </c:majorGridlines>
        <c:numFmt formatCode="General" sourceLinked="0"/>
        <c:tickLblPos val="nextTo"/>
        <c:spPr>
          <a:ln w="0" cap="flat" cmpd="sng" algn="ctr">
            <a:solidFill>
              <a:srgbClr val="B3B3B3"/>
            </a:solidFill>
            <a:prstDash val="solid"/>
            <a:round/>
          </a:ln>
        </c:spPr>
        <c:txPr>
          <a:bodyPr rot="-60000000" spcFirstLastPara="0" vertOverflow="ellipsis" vert="horz" wrap="square"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crossAx val="261355008"/>
        <c:crosses val="autoZero"/>
        <c:crossBetween val="midCat"/>
      </c:valAx>
      <c:spPr>
        <a:noFill/>
        <a:ln w="0">
          <a:solidFill>
            <a:srgbClr val="B3B3B3"/>
          </a:solidFill>
        </a:ln>
      </c:spPr>
    </c:plotArea>
    <c:legend>
      <c:legendPos val="r"/>
      <c:layout>
        <c:manualLayout>
          <c:xMode val="edge"/>
          <c:yMode val="edge"/>
          <c:x val="0.75209302325581673"/>
          <c:y val="0.34730891859994151"/>
          <c:w val="0.2479069767441861"/>
          <c:h val="0.30538216280012137"/>
        </c:manualLayout>
      </c:layout>
      <c:spPr>
        <a:noFill/>
        <a:ln w="0">
          <a:noFill/>
        </a:ln>
      </c:spPr>
      <c:txPr>
        <a:bodyPr rot="0" spcFirstLastPara="0" vertOverflow="ellipsis" vert="horz" wrap="square"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legend>
    <c:plotVisOnly val="1"/>
    <c:dispBlanksAs val="gap"/>
  </c:chart>
  <c:spPr>
    <a:solidFill>
      <a:srgbClr val="FFFFFF"/>
    </a:solidFill>
    <a:ln w="0" cap="flat" cmpd="sng" algn="ctr">
      <a:noFill/>
      <a:prstDash val="solid"/>
      <a:round/>
    </a:ln>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'第二个 民检'!$B$11</c:f>
              <c:strCache>
                <c:ptCount val="1"/>
                <c:pt idx="0">
                  <c:v>民事生效结果监督</c:v>
                </c:pt>
              </c:strCache>
            </c:strRef>
          </c:tx>
          <c:spPr>
            <a:solidFill>
              <a:srgbClr val="004586"/>
            </a:solidFill>
            <a:ln w="0">
              <a:solidFill>
                <a:srgbClr val="000000"/>
              </a:solidFill>
            </a:ln>
          </c:spPr>
          <c:dLbls>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dLblPos val="outEnd"/>
            <c:showBubbleSize val="1"/>
            <c:separator> </c:separator>
            <c:extLst>
              <c:ext xmlns:c15="http://schemas.microsoft.com/office/drawing/2012/chart" uri="{CE6537A1-D6FC-4f65-9D91-7224C49458BB}">
                <c15:layout/>
                <c15:showLeaderLines val="1"/>
                <c15:leaderLines/>
              </c:ext>
            </c:extLst>
          </c:dLbls>
          <c:cat>
            <c:strRef>
              <c:f>'第二个 民检'!$A$12:$A$15</c:f>
              <c:strCache>
                <c:ptCount val="4"/>
                <c:pt idx="0">
                  <c:v>2018年</c:v>
                </c:pt>
                <c:pt idx="1">
                  <c:v>2019年</c:v>
                </c:pt>
                <c:pt idx="2">
                  <c:v>2020年</c:v>
                </c:pt>
                <c:pt idx="3">
                  <c:v>2021年</c:v>
                </c:pt>
              </c:strCache>
            </c:strRef>
          </c:cat>
          <c:val>
            <c:numRef>
              <c:f>'第二个 民检'!$B$12:$B$15</c:f>
              <c:numCache>
                <c:formatCode>General</c:formatCode>
                <c:ptCount val="4"/>
                <c:pt idx="0">
                  <c:v>2</c:v>
                </c:pt>
                <c:pt idx="1">
                  <c:v>16</c:v>
                </c:pt>
                <c:pt idx="2">
                  <c:v>5</c:v>
                </c:pt>
                <c:pt idx="3">
                  <c:v>4</c:v>
                </c:pt>
              </c:numCache>
            </c:numRef>
          </c:val>
        </c:ser>
        <c:ser>
          <c:idx val="1"/>
          <c:order val="1"/>
          <c:tx>
            <c:strRef>
              <c:f>'第二个 民检'!$C$11</c:f>
              <c:strCache>
                <c:ptCount val="1"/>
                <c:pt idx="0">
                  <c:v>支持起诉</c:v>
                </c:pt>
              </c:strCache>
            </c:strRef>
          </c:tx>
          <c:spPr>
            <a:solidFill>
              <a:srgbClr val="FF420E"/>
            </a:solidFill>
            <a:ln w="0">
              <a:solidFill>
                <a:srgbClr val="000000"/>
              </a:solidFill>
            </a:ln>
          </c:spPr>
          <c:dLbls>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dLblPos val="outEnd"/>
            <c:showBubbleSize val="1"/>
            <c:separator> </c:separator>
            <c:extLst>
              <c:ext xmlns:c15="http://schemas.microsoft.com/office/drawing/2012/chart" uri="{CE6537A1-D6FC-4f65-9D91-7224C49458BB}">
                <c15:layout/>
                <c15:showLeaderLines val="1"/>
                <c15:leaderLines/>
              </c:ext>
            </c:extLst>
          </c:dLbls>
          <c:cat>
            <c:strRef>
              <c:f>'第二个 民检'!$A$12:$A$15</c:f>
              <c:strCache>
                <c:ptCount val="4"/>
                <c:pt idx="0">
                  <c:v>2018年</c:v>
                </c:pt>
                <c:pt idx="1">
                  <c:v>2019年</c:v>
                </c:pt>
                <c:pt idx="2">
                  <c:v>2020年</c:v>
                </c:pt>
                <c:pt idx="3">
                  <c:v>2021年</c:v>
                </c:pt>
              </c:strCache>
            </c:strRef>
          </c:cat>
          <c:val>
            <c:numRef>
              <c:f>'第二个 民检'!$C$12:$C$15</c:f>
              <c:numCache>
                <c:formatCode>General</c:formatCode>
                <c:ptCount val="4"/>
                <c:pt idx="0">
                  <c:v>0</c:v>
                </c:pt>
                <c:pt idx="1">
                  <c:v>0</c:v>
                </c:pt>
                <c:pt idx="2">
                  <c:v>5</c:v>
                </c:pt>
                <c:pt idx="3">
                  <c:v>0</c:v>
                </c:pt>
              </c:numCache>
            </c:numRef>
          </c:val>
        </c:ser>
        <c:ser>
          <c:idx val="2"/>
          <c:order val="2"/>
          <c:tx>
            <c:strRef>
              <c:f>'第二个 民检'!$D$11</c:f>
              <c:strCache>
                <c:ptCount val="1"/>
                <c:pt idx="0">
                  <c:v>民事执行监督</c:v>
                </c:pt>
              </c:strCache>
            </c:strRef>
          </c:tx>
          <c:spPr>
            <a:solidFill>
              <a:srgbClr val="FFD320"/>
            </a:solidFill>
            <a:ln w="0">
              <a:solidFill>
                <a:srgbClr val="000000"/>
              </a:solidFill>
            </a:ln>
          </c:spPr>
          <c:dLbls>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dLblPos val="outEnd"/>
            <c:showBubbleSize val="1"/>
            <c:separator> </c:separator>
            <c:extLst>
              <c:ext xmlns:c15="http://schemas.microsoft.com/office/drawing/2012/chart" uri="{CE6537A1-D6FC-4f65-9D91-7224C49458BB}">
                <c15:layout/>
                <c15:showLeaderLines val="1"/>
                <c15:leaderLines/>
              </c:ext>
            </c:extLst>
          </c:dLbls>
          <c:cat>
            <c:strRef>
              <c:f>'第二个 民检'!$A$12:$A$15</c:f>
              <c:strCache>
                <c:ptCount val="4"/>
                <c:pt idx="0">
                  <c:v>2018年</c:v>
                </c:pt>
                <c:pt idx="1">
                  <c:v>2019年</c:v>
                </c:pt>
                <c:pt idx="2">
                  <c:v>2020年</c:v>
                </c:pt>
                <c:pt idx="3">
                  <c:v>2021年</c:v>
                </c:pt>
              </c:strCache>
            </c:strRef>
          </c:cat>
          <c:val>
            <c:numRef>
              <c:f>'第二个 民检'!$D$12:$D$15</c:f>
              <c:numCache>
                <c:formatCode>General</c:formatCode>
                <c:ptCount val="4"/>
                <c:pt idx="0">
                  <c:v>1</c:v>
                </c:pt>
                <c:pt idx="1">
                  <c:v>33</c:v>
                </c:pt>
                <c:pt idx="2">
                  <c:v>64</c:v>
                </c:pt>
                <c:pt idx="3">
                  <c:v>43</c:v>
                </c:pt>
              </c:numCache>
            </c:numRef>
          </c:val>
        </c:ser>
        <c:ser>
          <c:idx val="3"/>
          <c:order val="3"/>
          <c:tx>
            <c:strRef>
              <c:f>'第二个 民检'!$E$11</c:f>
              <c:strCache>
                <c:ptCount val="1"/>
                <c:pt idx="0">
                  <c:v>不支持监督</c:v>
                </c:pt>
              </c:strCache>
            </c:strRef>
          </c:tx>
          <c:spPr>
            <a:solidFill>
              <a:srgbClr val="579D1C"/>
            </a:solidFill>
            <a:ln w="0">
              <a:solidFill>
                <a:srgbClr val="000000"/>
              </a:solidFill>
            </a:ln>
          </c:spPr>
          <c:dLbls>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dLblPos val="outEnd"/>
            <c:showBubbleSize val="1"/>
            <c:separator> </c:separator>
            <c:extLst>
              <c:ext xmlns:c15="http://schemas.microsoft.com/office/drawing/2012/chart" uri="{CE6537A1-D6FC-4f65-9D91-7224C49458BB}">
                <c15:layout/>
                <c15:showLeaderLines val="1"/>
                <c15:leaderLines/>
              </c:ext>
            </c:extLst>
          </c:dLbls>
          <c:cat>
            <c:strRef>
              <c:f>'第二个 民检'!$A$12:$A$15</c:f>
              <c:strCache>
                <c:ptCount val="4"/>
                <c:pt idx="0">
                  <c:v>2018年</c:v>
                </c:pt>
                <c:pt idx="1">
                  <c:v>2019年</c:v>
                </c:pt>
                <c:pt idx="2">
                  <c:v>2020年</c:v>
                </c:pt>
                <c:pt idx="3">
                  <c:v>2021年</c:v>
                </c:pt>
              </c:strCache>
            </c:strRef>
          </c:cat>
          <c:val>
            <c:numRef>
              <c:f>'第二个 民检'!$E$12:$E$15</c:f>
              <c:numCache>
                <c:formatCode>General</c:formatCode>
                <c:ptCount val="4"/>
                <c:pt idx="0">
                  <c:v>0</c:v>
                </c:pt>
                <c:pt idx="1">
                  <c:v>1</c:v>
                </c:pt>
                <c:pt idx="2">
                  <c:v>2</c:v>
                </c:pt>
                <c:pt idx="3">
                  <c:v>1</c:v>
                </c:pt>
              </c:numCache>
            </c:numRef>
          </c:val>
        </c:ser>
        <c:ser>
          <c:idx val="4"/>
          <c:order val="4"/>
          <c:tx>
            <c:strRef>
              <c:f>'第二个 民检'!$F$11</c:f>
              <c:strCache>
                <c:ptCount val="1"/>
                <c:pt idx="0">
                  <c:v>虚假诉讼监督</c:v>
                </c:pt>
              </c:strCache>
            </c:strRef>
          </c:tx>
          <c:spPr>
            <a:solidFill>
              <a:srgbClr val="7E0021"/>
            </a:solidFill>
            <a:ln w="0">
              <a:solidFill>
                <a:srgbClr val="000000"/>
              </a:solidFill>
            </a:ln>
          </c:spPr>
          <c:dLbls>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dLblPos val="outEnd"/>
            <c:showBubbleSize val="1"/>
            <c:separator> </c:separator>
            <c:extLst>
              <c:ext xmlns:c15="http://schemas.microsoft.com/office/drawing/2012/chart" uri="{CE6537A1-D6FC-4f65-9D91-7224C49458BB}">
                <c15:layout/>
                <c15:showLeaderLines val="1"/>
                <c15:leaderLines/>
              </c:ext>
            </c:extLst>
          </c:dLbls>
          <c:cat>
            <c:strRef>
              <c:f>'第二个 民检'!$A$12:$A$15</c:f>
              <c:strCache>
                <c:ptCount val="4"/>
                <c:pt idx="0">
                  <c:v>2018年</c:v>
                </c:pt>
                <c:pt idx="1">
                  <c:v>2019年</c:v>
                </c:pt>
                <c:pt idx="2">
                  <c:v>2020年</c:v>
                </c:pt>
                <c:pt idx="3">
                  <c:v>2021年</c:v>
                </c:pt>
              </c:strCache>
            </c:strRef>
          </c:cat>
          <c:val>
            <c:numRef>
              <c:f>'第二个 民检'!$F$12:$F$15</c:f>
              <c:numCache>
                <c:formatCode>General</c:formatCode>
                <c:ptCount val="4"/>
                <c:pt idx="0">
                  <c:v>0</c:v>
                </c:pt>
                <c:pt idx="1">
                  <c:v>13</c:v>
                </c:pt>
                <c:pt idx="2">
                  <c:v>3</c:v>
                </c:pt>
                <c:pt idx="3">
                  <c:v>0</c:v>
                </c:pt>
              </c:numCache>
            </c:numRef>
          </c:val>
        </c:ser>
        <c:ser>
          <c:idx val="5"/>
          <c:order val="5"/>
          <c:tx>
            <c:strRef>
              <c:f>'第二个 民检'!$G$11</c:f>
              <c:strCache>
                <c:ptCount val="1"/>
                <c:pt idx="0">
                  <c:v>审判程序监督案件</c:v>
                </c:pt>
              </c:strCache>
            </c:strRef>
          </c:tx>
          <c:spPr>
            <a:solidFill>
              <a:srgbClr val="83CAFF"/>
            </a:solidFill>
            <a:ln w="0">
              <a:solidFill>
                <a:srgbClr val="000000"/>
              </a:solidFill>
            </a:ln>
          </c:spPr>
          <c:dLbls>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dLblPos val="outEnd"/>
            <c:showBubbleSize val="1"/>
            <c:separator> </c:separator>
            <c:extLst>
              <c:ext xmlns:c15="http://schemas.microsoft.com/office/drawing/2012/chart" uri="{CE6537A1-D6FC-4f65-9D91-7224C49458BB}">
                <c15:layout/>
                <c15:showLeaderLines val="1"/>
                <c15:leaderLines/>
              </c:ext>
            </c:extLst>
          </c:dLbls>
          <c:cat>
            <c:strRef>
              <c:f>'第二个 民检'!$A$12:$A$15</c:f>
              <c:strCache>
                <c:ptCount val="4"/>
                <c:pt idx="0">
                  <c:v>2018年</c:v>
                </c:pt>
                <c:pt idx="1">
                  <c:v>2019年</c:v>
                </c:pt>
                <c:pt idx="2">
                  <c:v>2020年</c:v>
                </c:pt>
                <c:pt idx="3">
                  <c:v>2021年</c:v>
                </c:pt>
              </c:strCache>
            </c:strRef>
          </c:cat>
          <c:val>
            <c:numRef>
              <c:f>'第二个 民检'!$G$12:$G$15</c:f>
              <c:numCache>
                <c:formatCode>General</c:formatCode>
                <c:ptCount val="4"/>
                <c:pt idx="0">
                  <c:v>3</c:v>
                </c:pt>
                <c:pt idx="1">
                  <c:v>0</c:v>
                </c:pt>
                <c:pt idx="2">
                  <c:v>0</c:v>
                </c:pt>
                <c:pt idx="3">
                  <c:v>1</c:v>
                </c:pt>
              </c:numCache>
            </c:numRef>
          </c:val>
        </c:ser>
        <c:dLbls>
          <c:showBubbleSize val="1"/>
        </c:dLbls>
        <c:gapWidth val="100"/>
        <c:axId val="261610112"/>
        <c:axId val="261624960"/>
      </c:barChart>
      <c:catAx>
        <c:axId val="261610112"/>
        <c:scaling>
          <c:orientation val="minMax"/>
        </c:scaling>
        <c:axPos val="b"/>
        <c:numFmt formatCode="General" sourceLinked="1"/>
        <c:tickLblPos val="nextTo"/>
        <c:spPr>
          <a:ln w="0" cap="flat" cmpd="sng" algn="ctr">
            <a:solidFill>
              <a:srgbClr val="B3B3B3"/>
            </a:solidFill>
            <a:prstDash val="solid"/>
            <a:round/>
          </a:ln>
        </c:spPr>
        <c:txPr>
          <a:bodyPr rot="-60000000" spcFirstLastPara="0" vertOverflow="ellipsis" vert="horz" wrap="square"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crossAx val="261624960"/>
        <c:crosses val="autoZero"/>
        <c:auto val="1"/>
        <c:lblAlgn val="ctr"/>
        <c:lblOffset val="100"/>
      </c:catAx>
      <c:valAx>
        <c:axId val="261624960"/>
        <c:scaling>
          <c:orientation val="minMax"/>
        </c:scaling>
        <c:axPos val="l"/>
        <c:majorGridlines>
          <c:spPr>
            <a:ln w="0" cap="flat" cmpd="sng" algn="ctr">
              <a:solidFill>
                <a:srgbClr val="B3B3B3"/>
              </a:solidFill>
              <a:prstDash val="solid"/>
              <a:round/>
            </a:ln>
          </c:spPr>
        </c:majorGridlines>
        <c:numFmt formatCode="General" sourceLinked="1"/>
        <c:tickLblPos val="nextTo"/>
        <c:spPr>
          <a:ln w="0" cap="flat" cmpd="sng" algn="ctr">
            <a:solidFill>
              <a:srgbClr val="B3B3B3"/>
            </a:solidFill>
            <a:prstDash val="solid"/>
            <a:round/>
          </a:ln>
        </c:spPr>
        <c:txPr>
          <a:bodyPr rot="-60000000" spcFirstLastPara="0" vertOverflow="ellipsis" vert="horz" wrap="square"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crossAx val="261610112"/>
        <c:crosses val="autoZero"/>
        <c:crossBetween val="between"/>
      </c:valAx>
      <c:spPr>
        <a:noFill/>
        <a:ln w="0">
          <a:solidFill>
            <a:srgbClr val="B3B3B3"/>
          </a:solidFill>
        </a:ln>
        <a:effectLst/>
      </c:spPr>
    </c:plotArea>
    <c:legend>
      <c:legendPos val="t"/>
      <c:spPr>
        <a:noFill/>
        <a:ln w="0">
          <a:noFill/>
        </a:ln>
      </c:spPr>
      <c:txPr>
        <a:bodyPr rot="0" spcFirstLastPara="0" vertOverflow="ellipsis" vert="horz" wrap="square"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legend>
    <c:plotVisOnly val="1"/>
    <c:dispBlanksAs val="gap"/>
  </c:chart>
  <c:spPr>
    <a:solidFill>
      <a:srgbClr val="FFFFFF"/>
    </a:solidFill>
    <a:ln w="0" cap="flat" cmpd="sng" algn="ctr">
      <a:noFill/>
      <a:prstDash val="solid"/>
      <a:round/>
    </a:ln>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'第三个 政检'!$B$20</c:f>
              <c:strCache>
                <c:ptCount val="1"/>
                <c:pt idx="0">
                  <c:v>行政执行监督</c:v>
                </c:pt>
              </c:strCache>
            </c:strRef>
          </c:tx>
          <c:spPr>
            <a:solidFill>
              <a:srgbClr val="004586"/>
            </a:solidFill>
            <a:ln w="0">
              <a:solidFill>
                <a:srgbClr val="000000"/>
              </a:solidFill>
            </a:ln>
          </c:spPr>
          <c:dLbls>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dLblPos val="outEnd"/>
            <c:showBubbleSize val="1"/>
            <c:separator> </c:separator>
            <c:extLst>
              <c:ext xmlns:c15="http://schemas.microsoft.com/office/drawing/2012/chart" uri="{CE6537A1-D6FC-4f65-9D91-7224C49458BB}">
                <c15:layout/>
                <c15:showLeaderLines val="1"/>
                <c15:leaderLines/>
              </c:ext>
            </c:extLst>
          </c:dLbls>
          <c:cat>
            <c:strRef>
              <c:f>'第三个 政检'!$A$21:$A$24</c:f>
              <c:strCache>
                <c:ptCount val="4"/>
                <c:pt idx="0">
                  <c:v>2018年</c:v>
                </c:pt>
                <c:pt idx="1">
                  <c:v>2019年</c:v>
                </c:pt>
                <c:pt idx="2">
                  <c:v>2020年</c:v>
                </c:pt>
                <c:pt idx="3">
                  <c:v>2021年</c:v>
                </c:pt>
              </c:strCache>
            </c:strRef>
          </c:cat>
          <c:val>
            <c:numRef>
              <c:f>'第三个 政检'!$B$21:$B$24</c:f>
              <c:numCache>
                <c:formatCode>General</c:formatCode>
                <c:ptCount val="4"/>
                <c:pt idx="0">
                  <c:v>39</c:v>
                </c:pt>
                <c:pt idx="1">
                  <c:v>17</c:v>
                </c:pt>
                <c:pt idx="2">
                  <c:v>39</c:v>
                </c:pt>
                <c:pt idx="3">
                  <c:v>27</c:v>
                </c:pt>
              </c:numCache>
            </c:numRef>
          </c:val>
        </c:ser>
        <c:ser>
          <c:idx val="1"/>
          <c:order val="1"/>
          <c:tx>
            <c:strRef>
              <c:f>'第三个 政检'!$C$20</c:f>
              <c:strCache>
                <c:ptCount val="1"/>
                <c:pt idx="0">
                  <c:v>督促履职</c:v>
                </c:pt>
              </c:strCache>
            </c:strRef>
          </c:tx>
          <c:spPr>
            <a:solidFill>
              <a:srgbClr val="FF420E"/>
            </a:solidFill>
            <a:ln w="0">
              <a:solidFill>
                <a:srgbClr val="000000"/>
              </a:solidFill>
            </a:ln>
          </c:spPr>
          <c:dLbls>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dLblPos val="outEnd"/>
            <c:showBubbleSize val="1"/>
            <c:separator> </c:separator>
            <c:extLst>
              <c:ext xmlns:c15="http://schemas.microsoft.com/office/drawing/2012/chart" uri="{CE6537A1-D6FC-4f65-9D91-7224C49458BB}">
                <c15:layout/>
                <c15:showLeaderLines val="1"/>
                <c15:leaderLines/>
              </c:ext>
            </c:extLst>
          </c:dLbls>
          <c:cat>
            <c:strRef>
              <c:f>'第三个 政检'!$A$21:$A$24</c:f>
              <c:strCache>
                <c:ptCount val="4"/>
                <c:pt idx="0">
                  <c:v>2018年</c:v>
                </c:pt>
                <c:pt idx="1">
                  <c:v>2019年</c:v>
                </c:pt>
                <c:pt idx="2">
                  <c:v>2020年</c:v>
                </c:pt>
                <c:pt idx="3">
                  <c:v>2021年</c:v>
                </c:pt>
              </c:strCache>
            </c:strRef>
          </c:cat>
          <c:val>
            <c:numRef>
              <c:f>'第三个 政检'!$C$21:$C$24</c:f>
              <c:numCache>
                <c:formatCode>General</c:formatCode>
                <c:ptCount val="4"/>
                <c:pt idx="0">
                  <c:v>20</c:v>
                </c:pt>
                <c:pt idx="1">
                  <c:v>24</c:v>
                </c:pt>
                <c:pt idx="2">
                  <c:v>0</c:v>
                </c:pt>
                <c:pt idx="3">
                  <c:v>0</c:v>
                </c:pt>
              </c:numCache>
            </c:numRef>
          </c:val>
        </c:ser>
        <c:ser>
          <c:idx val="2"/>
          <c:order val="2"/>
          <c:tx>
            <c:strRef>
              <c:f>'第三个 政检'!$D$20</c:f>
              <c:strCache>
                <c:ptCount val="1"/>
                <c:pt idx="0">
                  <c:v>行政检察建议</c:v>
                </c:pt>
              </c:strCache>
            </c:strRef>
          </c:tx>
          <c:spPr>
            <a:solidFill>
              <a:srgbClr val="FFD320"/>
            </a:solidFill>
            <a:ln w="0">
              <a:solidFill>
                <a:srgbClr val="000000"/>
              </a:solidFill>
            </a:ln>
          </c:spPr>
          <c:dLbls>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dLblPos val="outEnd"/>
            <c:showBubbleSize val="1"/>
            <c:separator> </c:separator>
            <c:extLst>
              <c:ext xmlns:c15="http://schemas.microsoft.com/office/drawing/2012/chart" uri="{CE6537A1-D6FC-4f65-9D91-7224C49458BB}">
                <c15:layout/>
                <c15:showLeaderLines val="1"/>
                <c15:leaderLines/>
              </c:ext>
            </c:extLst>
          </c:dLbls>
          <c:cat>
            <c:strRef>
              <c:f>'第三个 政检'!$A$21:$A$24</c:f>
              <c:strCache>
                <c:ptCount val="4"/>
                <c:pt idx="0">
                  <c:v>2018年</c:v>
                </c:pt>
                <c:pt idx="1">
                  <c:v>2019年</c:v>
                </c:pt>
                <c:pt idx="2">
                  <c:v>2020年</c:v>
                </c:pt>
                <c:pt idx="3">
                  <c:v>2021年</c:v>
                </c:pt>
              </c:strCache>
            </c:strRef>
          </c:cat>
          <c:val>
            <c:numRef>
              <c:f>'第三个 政检'!$D$21:$D$24</c:f>
              <c:numCache>
                <c:formatCode>General</c:formatCode>
                <c:ptCount val="4"/>
                <c:pt idx="0">
                  <c:v>0</c:v>
                </c:pt>
                <c:pt idx="1">
                  <c:v>0</c:v>
                </c:pt>
                <c:pt idx="2">
                  <c:v>14</c:v>
                </c:pt>
                <c:pt idx="3">
                  <c:v>13</c:v>
                </c:pt>
              </c:numCache>
            </c:numRef>
          </c:val>
        </c:ser>
        <c:dLbls>
          <c:showBubbleSize val="1"/>
        </c:dLbls>
        <c:gapWidth val="100"/>
        <c:axId val="261771648"/>
        <c:axId val="261773184"/>
      </c:barChart>
      <c:catAx>
        <c:axId val="261771648"/>
        <c:scaling>
          <c:orientation val="minMax"/>
        </c:scaling>
        <c:axPos val="b"/>
        <c:numFmt formatCode="General" sourceLinked="1"/>
        <c:tickLblPos val="nextTo"/>
        <c:spPr>
          <a:ln w="0" cap="flat" cmpd="sng" algn="ctr">
            <a:solidFill>
              <a:srgbClr val="B3B3B3"/>
            </a:solidFill>
            <a:prstDash val="solid"/>
            <a:round/>
          </a:ln>
        </c:spPr>
        <c:txPr>
          <a:bodyPr rot="-60000000" spcFirstLastPara="0" vertOverflow="ellipsis" vert="horz" wrap="square"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crossAx val="261773184"/>
        <c:crosses val="autoZero"/>
        <c:auto val="1"/>
        <c:lblAlgn val="ctr"/>
        <c:lblOffset val="100"/>
      </c:catAx>
      <c:valAx>
        <c:axId val="261773184"/>
        <c:scaling>
          <c:orientation val="minMax"/>
        </c:scaling>
        <c:axPos val="l"/>
        <c:majorGridlines>
          <c:spPr>
            <a:ln w="0" cap="flat" cmpd="sng" algn="ctr">
              <a:solidFill>
                <a:srgbClr val="B3B3B3"/>
              </a:solidFill>
              <a:prstDash val="solid"/>
              <a:round/>
            </a:ln>
          </c:spPr>
        </c:majorGridlines>
        <c:numFmt formatCode="General" sourceLinked="1"/>
        <c:tickLblPos val="nextTo"/>
        <c:spPr>
          <a:ln w="0" cap="flat" cmpd="sng" algn="ctr">
            <a:solidFill>
              <a:srgbClr val="B3B3B3"/>
            </a:solidFill>
            <a:prstDash val="solid"/>
            <a:round/>
          </a:ln>
        </c:spPr>
        <c:txPr>
          <a:bodyPr rot="-60000000" spcFirstLastPara="0" vertOverflow="ellipsis" vert="horz" wrap="square"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crossAx val="261771648"/>
        <c:crosses val="autoZero"/>
        <c:crossBetween val="between"/>
      </c:valAx>
      <c:spPr>
        <a:noFill/>
        <a:ln w="0">
          <a:solidFill>
            <a:srgbClr val="B3B3B3"/>
          </a:solidFill>
        </a:ln>
        <a:effectLst/>
      </c:spPr>
    </c:plotArea>
    <c:legend>
      <c:legendPos val="t"/>
      <c:spPr>
        <a:noFill/>
        <a:ln w="0">
          <a:noFill/>
        </a:ln>
      </c:spPr>
      <c:txPr>
        <a:bodyPr rot="0" spcFirstLastPara="0" vertOverflow="ellipsis" vert="horz" wrap="square" anchor="ctr" anchorCtr="1"/>
        <a:lstStyle/>
        <a:p>
          <a:pPr>
            <a:defRPr lang="zh-CN" sz="1000" b="0" i="0" u="none" strike="noStrike" kern="1200" spc="-1" baseline="0">
              <a:solidFill>
                <a:schemeClr val="tx1"/>
              </a:solidFill>
              <a:latin typeface="Arial" panose="020B0604020202020204" pitchFamily="2"/>
              <a:ea typeface="+mn-ea"/>
              <a:cs typeface="+mn-cs"/>
            </a:defRPr>
          </a:pPr>
          <a:endParaRPr lang="zh-CN"/>
        </a:p>
      </c:txPr>
    </c:legend>
    <c:plotVisOnly val="1"/>
    <c:dispBlanksAs val="gap"/>
  </c:chart>
  <c:spPr>
    <a:solidFill>
      <a:srgbClr val="FFFFFF"/>
    </a:solidFill>
    <a:ln w="0" cap="flat" cmpd="sng" algn="ctr">
      <a:noFill/>
      <a:prstDash val="solid"/>
      <a:round/>
    </a:ln>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Percent val="1"/>
            <c:showLeaderLines val="1"/>
            <c:extLst>
              <c:ext xmlns:c15="http://schemas.microsoft.com/office/drawing/2012/chart" uri="{CE6537A1-D6FC-4f65-9D91-7224C49458BB}">
                <c15:layout/>
                <c15:showLeaderLines val="1"/>
                <c15:leaderLines/>
              </c:ext>
            </c:extLst>
          </c:dLbls>
          <c:cat>
            <c:strRef>
              <c:f>第四个!$B$28:$G$28</c:f>
              <c:strCache>
                <c:ptCount val="6"/>
                <c:pt idx="0">
                  <c:v>生态环境和资源保护</c:v>
                </c:pt>
                <c:pt idx="1">
                  <c:v>食品药品安全</c:v>
                </c:pt>
                <c:pt idx="2">
                  <c:v>国有财产保护</c:v>
                </c:pt>
                <c:pt idx="3">
                  <c:v>国有土地使用权出让</c:v>
                </c:pt>
                <c:pt idx="4">
                  <c:v>未成年人权益保护</c:v>
                </c:pt>
                <c:pt idx="5">
                  <c:v>消费者权益和特殊群体利益维护</c:v>
                </c:pt>
              </c:strCache>
            </c:strRef>
          </c:cat>
          <c:val>
            <c:numRef>
              <c:f>第四个!$B$29:$G$29</c:f>
              <c:numCache>
                <c:formatCode>General</c:formatCode>
                <c:ptCount val="6"/>
                <c:pt idx="0">
                  <c:v>29</c:v>
                </c:pt>
                <c:pt idx="1">
                  <c:v>21</c:v>
                </c:pt>
                <c:pt idx="2">
                  <c:v>13</c:v>
                </c:pt>
                <c:pt idx="3">
                  <c:v>2</c:v>
                </c:pt>
                <c:pt idx="4">
                  <c:v>7</c:v>
                </c:pt>
                <c:pt idx="5">
                  <c:v>11</c:v>
                </c:pt>
              </c:numCache>
            </c:numRef>
          </c:val>
        </c:ser>
        <c:dLbls>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1081</Words>
  <Characters>6168</Characters>
  <Application>Microsoft Office Word</Application>
  <DocSecurity>0</DocSecurity>
  <Lines>51</Lines>
  <Paragraphs>14</Paragraphs>
  <ScaleCrop>false</ScaleCrop>
  <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2023-03-07T08:19:00Z</dcterms:created>
  <dcterms:modified xsi:type="dcterms:W3CDTF">2023-03-07T08:19:00Z</dcterms:modified>
</cp:coreProperties>
</file>